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3"/>
          <w:szCs w:val="23"/>
          <w:b w:val="1"/>
          <w:bCs w:val="1"/>
          <w:color w:val="auto"/>
        </w:rPr>
        <w:drawing>
          <wp:anchor simplePos="0" relativeHeight="251657728" behindDoc="1" locked="0" layoutInCell="0" allowOverlap="1">
            <wp:simplePos x="0" y="0"/>
            <wp:positionH relativeFrom="page">
              <wp:posOffset>201930</wp:posOffset>
            </wp:positionH>
            <wp:positionV relativeFrom="page">
              <wp:posOffset>398780</wp:posOffset>
            </wp:positionV>
            <wp:extent cx="7145655" cy="23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45655" cy="23495"/>
                    </a:xfrm>
                    <a:prstGeom prst="rect">
                      <a:avLst/>
                    </a:prstGeom>
                    <a:noFill/>
                  </pic:spPr>
                </pic:pic>
              </a:graphicData>
            </a:graphic>
          </wp:anchor>
        </w:drawing>
        <w:drawing>
          <wp:anchor simplePos="0" relativeHeight="251657728" behindDoc="1" locked="0" layoutInCell="0" allowOverlap="1">
            <wp:simplePos x="0" y="0"/>
            <wp:positionH relativeFrom="page">
              <wp:posOffset>201930</wp:posOffset>
            </wp:positionH>
            <wp:positionV relativeFrom="page">
              <wp:posOffset>429895</wp:posOffset>
            </wp:positionV>
            <wp:extent cx="7145655"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45655" cy="7620"/>
                    </a:xfrm>
                    <a:prstGeom prst="rect">
                      <a:avLst/>
                    </a:prstGeom>
                    <a:noFill/>
                  </pic:spPr>
                </pic:pic>
              </a:graphicData>
            </a:graphic>
          </wp:anchor>
        </w:drawing>
        <w:t>UNITED STATES</w:t>
      </w:r>
    </w:p>
    <w:p>
      <w:pPr>
        <w:spacing w:after="0" w:line="30" w:lineRule="exact"/>
        <w:rPr>
          <w:sz w:val="24"/>
          <w:szCs w:val="24"/>
          <w:color w:val="auto"/>
        </w:rPr>
      </w:pPr>
    </w:p>
    <w:p>
      <w:pPr>
        <w:jc w:val="center"/>
        <w:ind w:right="-1120"/>
        <w:spacing w:after="0"/>
        <w:rPr>
          <w:sz w:val="20"/>
          <w:szCs w:val="20"/>
          <w:color w:val="auto"/>
        </w:rPr>
      </w:pPr>
      <w:r>
        <w:rPr>
          <w:rFonts w:ascii="Arial" w:cs="Arial" w:eastAsia="Arial" w:hAnsi="Arial"/>
          <w:sz w:val="23"/>
          <w:szCs w:val="23"/>
          <w:b w:val="1"/>
          <w:bCs w:val="1"/>
          <w:color w:val="auto"/>
        </w:rPr>
        <w:t>SECURITIES AND EXCHANGE COMMISSION</w:t>
      </w:r>
    </w:p>
    <w:p>
      <w:pPr>
        <w:spacing w:after="0" w:line="4" w:lineRule="exact"/>
        <w:rPr>
          <w:sz w:val="24"/>
          <w:szCs w:val="24"/>
          <w:color w:val="auto"/>
        </w:rPr>
      </w:pPr>
    </w:p>
    <w:p>
      <w:pPr>
        <w:jc w:val="center"/>
        <w:ind w:right="-1120"/>
        <w:spacing w:after="0"/>
        <w:rPr>
          <w:sz w:val="20"/>
          <w:szCs w:val="20"/>
          <w:color w:val="auto"/>
        </w:rPr>
      </w:pPr>
      <w:r>
        <w:rPr>
          <w:rFonts w:ascii="Arial" w:cs="Arial" w:eastAsia="Arial" w:hAnsi="Arial"/>
          <w:sz w:val="23"/>
          <w:szCs w:val="23"/>
          <w:b w:val="1"/>
          <w:bCs w:val="1"/>
          <w:color w:val="auto"/>
        </w:rPr>
        <w:t>Washington, D.C. 20549</w:t>
      </w:r>
    </w:p>
    <w:p>
      <w:pPr>
        <w:spacing w:after="0" w:line="173" w:lineRule="exact"/>
        <w:rPr>
          <w:sz w:val="24"/>
          <w:szCs w:val="24"/>
          <w:color w:val="auto"/>
        </w:rPr>
      </w:pPr>
    </w:p>
    <w:p>
      <w:pPr>
        <w:jc w:val="center"/>
        <w:ind w:right="-1120"/>
        <w:spacing w:after="0"/>
        <w:rPr>
          <w:sz w:val="20"/>
          <w:szCs w:val="20"/>
          <w:color w:val="auto"/>
        </w:rPr>
      </w:pPr>
      <w:r>
        <w:rPr>
          <w:rFonts w:ascii="Arial" w:cs="Arial" w:eastAsia="Arial" w:hAnsi="Arial"/>
          <w:sz w:val="23"/>
          <w:szCs w:val="23"/>
          <w:b w:val="1"/>
          <w:bCs w:val="1"/>
          <w:color w:val="auto"/>
        </w:rPr>
        <w:t>FORM 6-K</w:t>
      </w:r>
    </w:p>
    <w:p>
      <w:pPr>
        <w:spacing w:after="0" w:line="20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PURSUANT TO RULE 13a-16 OR 15d-16 UNDER THE</w:t>
      </w:r>
    </w:p>
    <w:p>
      <w:pPr>
        <w:spacing w:after="0" w:line="11"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SECURITIES EXCHANGE ACT OF 1934</w:t>
      </w:r>
    </w:p>
    <w:p>
      <w:pPr>
        <w:spacing w:after="0" w:line="195"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Long Form of Press Release</w:t>
      </w:r>
    </w:p>
    <w:p>
      <w:pPr>
        <w:spacing w:after="0" w:line="20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Commission File Number 1-11414</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3"/>
          <w:szCs w:val="23"/>
          <w:b w:val="1"/>
          <w:bCs w:val="1"/>
          <w:color w:val="auto"/>
        </w:rPr>
        <w:t>BANCO LATINOAMERICANO DE COMERCIO EXTERIOR, S.A.</w:t>
      </w:r>
    </w:p>
    <w:p>
      <w:pPr>
        <w:spacing w:after="0" w:line="2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(Exact name of Registrant as specified in its Charter)</w:t>
      </w:r>
    </w:p>
    <w:p>
      <w:pPr>
        <w:spacing w:after="0" w:line="184" w:lineRule="exact"/>
        <w:rPr>
          <w:sz w:val="24"/>
          <w:szCs w:val="24"/>
          <w:color w:val="auto"/>
        </w:rPr>
      </w:pPr>
    </w:p>
    <w:p>
      <w:pPr>
        <w:jc w:val="center"/>
        <w:ind w:right="-1120"/>
        <w:spacing w:after="0"/>
        <w:rPr>
          <w:sz w:val="20"/>
          <w:szCs w:val="20"/>
          <w:color w:val="auto"/>
        </w:rPr>
      </w:pPr>
      <w:r>
        <w:rPr>
          <w:rFonts w:ascii="Arial" w:cs="Arial" w:eastAsia="Arial" w:hAnsi="Arial"/>
          <w:sz w:val="23"/>
          <w:szCs w:val="23"/>
          <w:b w:val="1"/>
          <w:bCs w:val="1"/>
          <w:color w:val="auto"/>
        </w:rPr>
        <w:t>FOREIGN TRADE BANK OF LATIN AMERICA, INC.</w:t>
      </w:r>
    </w:p>
    <w:p>
      <w:pPr>
        <w:spacing w:after="0" w:line="2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(Translation of Registrant’s name into English)</w:t>
      </w:r>
    </w:p>
    <w:p>
      <w:pPr>
        <w:spacing w:after="0" w:line="193"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P.O. Box 0819-08730</w:t>
      </w:r>
    </w:p>
    <w:p>
      <w:pPr>
        <w:spacing w:after="0" w:line="11"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Panama City, Republic of Panama</w:t>
      </w:r>
    </w:p>
    <w:p>
      <w:pPr>
        <w:spacing w:after="0" w:line="11"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(Address of Registrant’s Principal Executive Offices)</w:t>
      </w:r>
    </w:p>
    <w:p>
      <w:pPr>
        <w:spacing w:after="0" w:line="19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77" w:lineRule="exact"/>
        <w:rPr>
          <w:sz w:val="24"/>
          <w:szCs w:val="24"/>
          <w:color w:val="auto"/>
        </w:rPr>
      </w:pPr>
    </w:p>
    <w:p>
      <w:pPr>
        <w:ind w:left="4560"/>
        <w:spacing w:after="0" w:line="184" w:lineRule="exact"/>
        <w:tabs>
          <w:tab w:leader="none" w:pos="5760" w:val="left"/>
        </w:tabs>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Form 40-F </w:t>
      </w:r>
      <w:r>
        <w:rPr>
          <w:rFonts w:ascii="MS PGothic" w:cs="MS PGothic" w:eastAsia="MS PGothic" w:hAnsi="MS PGothic"/>
          <w:sz w:val="14"/>
          <w:szCs w:val="14"/>
          <w:color w:val="auto"/>
        </w:rPr>
        <w:t>☐</w:t>
      </w:r>
    </w:p>
    <w:p>
      <w:pPr>
        <w:spacing w:after="0" w:line="237"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77" w:lineRule="exact"/>
        <w:rPr>
          <w:sz w:val="24"/>
          <w:szCs w:val="24"/>
          <w:color w:val="auto"/>
        </w:rPr>
      </w:pPr>
    </w:p>
    <w:p>
      <w:pPr>
        <w:ind w:left="5280"/>
        <w:spacing w:after="0" w:line="184" w:lineRule="exact"/>
        <w:tabs>
          <w:tab w:leader="none" w:pos="600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5"/>
          <w:szCs w:val="15"/>
          <w:color w:val="auto"/>
        </w:rPr>
        <w:t xml:space="preserve">No </w:t>
      </w:r>
      <w:r>
        <w:rPr>
          <w:rFonts w:ascii="MS PGothic" w:cs="MS PGothic" w:eastAsia="MS PGothic" w:hAnsi="MS PGothic"/>
          <w:sz w:val="15"/>
          <w:szCs w:val="15"/>
          <w:color w:val="auto"/>
        </w:rPr>
        <w:t>☒</w:t>
      </w:r>
    </w:p>
    <w:p>
      <w:pPr>
        <w:spacing w:after="0" w:line="237"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77" w:lineRule="exact"/>
        <w:rPr>
          <w:sz w:val="24"/>
          <w:szCs w:val="24"/>
          <w:color w:val="auto"/>
        </w:rPr>
      </w:pPr>
    </w:p>
    <w:p>
      <w:pPr>
        <w:ind w:left="5280"/>
        <w:spacing w:after="0" w:line="184" w:lineRule="exact"/>
        <w:tabs>
          <w:tab w:leader="none" w:pos="600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5"/>
          <w:szCs w:val="15"/>
          <w:color w:val="auto"/>
        </w:rPr>
        <w:t xml:space="preserve">No </w:t>
      </w:r>
      <w:r>
        <w:rPr>
          <w:rFonts w:ascii="MS PGothic" w:cs="MS PGothic" w:eastAsia="MS PGothic" w:hAnsi="MS PGothic"/>
          <w:sz w:val="15"/>
          <w:szCs w:val="15"/>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-635</wp:posOffset>
            </wp:positionH>
            <wp:positionV relativeFrom="paragraph">
              <wp:posOffset>189230</wp:posOffset>
            </wp:positionV>
            <wp:extent cx="714565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5655" cy="7620"/>
                    </a:xfrm>
                    <a:prstGeom prst="rect">
                      <a:avLst/>
                    </a:prstGeom>
                    <a:noFill/>
                  </pic:spPr>
                </pic:pic>
              </a:graphicData>
            </a:graphic>
          </wp:anchor>
        </w:drawing>
        <w:drawing>
          <wp:anchor simplePos="0" relativeHeight="251657728" behindDoc="1" locked="0" layoutInCell="0" allowOverlap="1">
            <wp:simplePos x="0" y="0"/>
            <wp:positionH relativeFrom="column">
              <wp:posOffset>-635</wp:posOffset>
            </wp:positionH>
            <wp:positionV relativeFrom="paragraph">
              <wp:posOffset>204470</wp:posOffset>
            </wp:positionV>
            <wp:extent cx="7145655" cy="234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45655" cy="23495"/>
                    </a:xfrm>
                    <a:prstGeom prst="rect">
                      <a:avLst/>
                    </a:prstGeom>
                    <a:noFill/>
                  </pic:spPr>
                </pic:pic>
              </a:graphicData>
            </a:graphic>
          </wp:anchor>
        </w:drawing>
        <w:drawing>
          <wp:anchor simplePos="0" relativeHeight="251657728" behindDoc="1" locked="0" layoutInCell="0" allowOverlap="1">
            <wp:simplePos x="0" y="0"/>
            <wp:positionH relativeFrom="column">
              <wp:posOffset>-635</wp:posOffset>
            </wp:positionH>
            <wp:positionV relativeFrom="paragraph">
              <wp:posOffset>739140</wp:posOffset>
            </wp:positionV>
            <wp:extent cx="7145655"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0139"/>
          </w:cols>
          <w:pgMar w:left="320" w:top="91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11" w:lineRule="exact"/>
        <w:rPr>
          <w:sz w:val="20"/>
          <w:szCs w:val="20"/>
          <w:color w:val="auto"/>
        </w:rPr>
      </w:pPr>
    </w:p>
    <w:p>
      <w:pPr>
        <w:ind w:firstLine="586"/>
        <w:spacing w:after="0" w:line="284"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0" w:lineRule="exact"/>
        <w:rPr>
          <w:sz w:val="20"/>
          <w:szCs w:val="20"/>
          <w:color w:val="auto"/>
        </w:rPr>
      </w:pPr>
    </w:p>
    <w:p>
      <w:pPr>
        <w:spacing w:after="0"/>
        <w:rPr>
          <w:sz w:val="20"/>
          <w:szCs w:val="20"/>
          <w:color w:val="auto"/>
        </w:rPr>
      </w:pPr>
      <w:r>
        <w:rPr>
          <w:rFonts w:ascii="Arial" w:cs="Arial" w:eastAsia="Arial" w:hAnsi="Arial"/>
          <w:sz w:val="16"/>
          <w:szCs w:val="16"/>
          <w:color w:val="auto"/>
        </w:rPr>
        <w:t>Date: July 29, 2021</w:t>
      </w:r>
    </w:p>
    <w:p>
      <w:pPr>
        <w:spacing w:after="0" w:line="207" w:lineRule="exact"/>
        <w:rPr>
          <w:sz w:val="20"/>
          <w:szCs w:val="20"/>
          <w:color w:val="auto"/>
        </w:rPr>
      </w:pPr>
    </w:p>
    <w:p>
      <w:pPr>
        <w:ind w:left="5640"/>
        <w:spacing w:after="0"/>
        <w:rPr>
          <w:sz w:val="20"/>
          <w:szCs w:val="20"/>
          <w:color w:val="auto"/>
        </w:rPr>
      </w:pPr>
      <w:r>
        <w:rPr>
          <w:rFonts w:ascii="Arial" w:cs="Arial" w:eastAsia="Arial" w:hAnsi="Arial"/>
          <w:sz w:val="16"/>
          <w:szCs w:val="16"/>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6"/>
          <w:szCs w:val="16"/>
          <w:i w:val="1"/>
          <w:iCs w:val="1"/>
          <w:color w:val="auto"/>
        </w:rPr>
        <w:t>(Registrant)</w:t>
      </w:r>
    </w:p>
    <w:p>
      <w:pPr>
        <w:spacing w:after="0" w:line="195"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6"/>
          <w:szCs w:val="16"/>
          <w:color w:val="auto"/>
        </w:rPr>
        <w:t>By:</w:t>
      </w:r>
      <w:r>
        <w:rPr>
          <w:sz w:val="20"/>
          <w:szCs w:val="20"/>
          <w:color w:val="auto"/>
        </w:rPr>
        <w:tab/>
      </w:r>
      <w:r>
        <w:rPr>
          <w:rFonts w:ascii="Arial" w:cs="Arial" w:eastAsia="Arial" w:hAnsi="Arial"/>
          <w:sz w:val="16"/>
          <w:szCs w:val="16"/>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3935730</wp:posOffset>
            </wp:positionH>
            <wp:positionV relativeFrom="paragraph">
              <wp:posOffset>15240</wp:posOffset>
            </wp:positionV>
            <wp:extent cx="3208655"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08655" cy="7620"/>
                    </a:xfrm>
                    <a:prstGeom prst="rect">
                      <a:avLst/>
                    </a:prstGeom>
                    <a:noFill/>
                  </pic:spPr>
                </pic:pic>
              </a:graphicData>
            </a:graphic>
          </wp:anchor>
        </w:drawing>
      </w:r>
    </w:p>
    <w:p>
      <w:pPr>
        <w:spacing w:after="0" w:line="199"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6"/>
          <w:szCs w:val="16"/>
          <w:color w:val="auto"/>
        </w:rPr>
        <w:t>Name:</w:t>
      </w:r>
      <w:r>
        <w:rPr>
          <w:sz w:val="20"/>
          <w:szCs w:val="20"/>
          <w:color w:val="auto"/>
        </w:rPr>
        <w:tab/>
      </w:r>
      <w:r>
        <w:rPr>
          <w:rFonts w:ascii="Arial" w:cs="Arial" w:eastAsia="Arial" w:hAnsi="Arial"/>
          <w:sz w:val="14"/>
          <w:szCs w:val="14"/>
          <w:color w:val="auto"/>
        </w:rPr>
        <w:t>Ana Graciela de Méndez</w:t>
      </w:r>
    </w:p>
    <w:p>
      <w:pPr>
        <w:spacing w:after="0" w:line="23"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6"/>
          <w:szCs w:val="16"/>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410845</wp:posOffset>
            </wp:positionV>
            <wp:extent cx="7145655"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40"/>
          </w:cols>
          <w:pgMar w:left="320" w:top="831"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553720</wp:posOffset>
            </wp:positionV>
            <wp:extent cx="7202170" cy="14262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426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
        <w:spacing w:after="0"/>
        <w:rPr>
          <w:sz w:val="20"/>
          <w:szCs w:val="20"/>
          <w:color w:val="auto"/>
        </w:rPr>
      </w:pPr>
      <w:r>
        <w:rPr>
          <w:rFonts w:ascii="Arial" w:cs="Arial" w:eastAsia="Arial" w:hAnsi="Arial"/>
          <w:sz w:val="16"/>
          <w:szCs w:val="16"/>
          <w:b w:val="1"/>
          <w:bCs w:val="1"/>
          <w:color w:val="auto"/>
        </w:rPr>
        <w:t>BLADEX ANNOUNCES SECOND QUARTER 2021 PROFIT OF $14.1 MILLION, OR $0.36 PER SHARE,</w:t>
      </w:r>
    </w:p>
    <w:p>
      <w:pPr>
        <w:spacing w:after="0" w:line="27" w:lineRule="exact"/>
        <w:rPr>
          <w:sz w:val="20"/>
          <w:szCs w:val="20"/>
          <w:color w:val="auto"/>
        </w:rPr>
      </w:pPr>
    </w:p>
    <w:p>
      <w:pPr>
        <w:jc w:val="center"/>
        <w:ind w:right="-1"/>
        <w:spacing w:after="0"/>
        <w:rPr>
          <w:sz w:val="20"/>
          <w:szCs w:val="20"/>
          <w:color w:val="auto"/>
        </w:rPr>
      </w:pPr>
      <w:r>
        <w:rPr>
          <w:rFonts w:ascii="Arial" w:cs="Arial" w:eastAsia="Arial" w:hAnsi="Arial"/>
          <w:sz w:val="16"/>
          <w:szCs w:val="16"/>
          <w:b w:val="1"/>
          <w:bCs w:val="1"/>
          <w:color w:val="auto"/>
        </w:rPr>
        <w:t>ON IMPROVED CORE REVENUES AND CREDIT PORTFOLIO GROWTH</w:t>
      </w:r>
    </w:p>
    <w:p>
      <w:pPr>
        <w:spacing w:after="0" w:line="118" w:lineRule="exact"/>
        <w:rPr>
          <w:sz w:val="20"/>
          <w:szCs w:val="20"/>
          <w:color w:val="auto"/>
        </w:rPr>
      </w:pPr>
    </w:p>
    <w:p>
      <w:pPr>
        <w:ind w:left="2"/>
        <w:spacing w:after="0"/>
        <w:rPr>
          <w:sz w:val="20"/>
          <w:szCs w:val="20"/>
          <w:color w:val="auto"/>
        </w:rPr>
      </w:pPr>
      <w:r>
        <w:rPr>
          <w:rFonts w:ascii="Arial" w:cs="Arial" w:eastAsia="Arial" w:hAnsi="Arial"/>
          <w:sz w:val="16"/>
          <w:szCs w:val="16"/>
          <w:b w:val="1"/>
          <w:bCs w:val="1"/>
          <w:color w:val="auto"/>
        </w:rPr>
        <w:t>PANAMA CITY, REPUBLIC OF PANAMA, July 28, 2021</w:t>
      </w:r>
    </w:p>
    <w:p>
      <w:pPr>
        <w:spacing w:after="0" w:line="133" w:lineRule="exact"/>
        <w:rPr>
          <w:sz w:val="20"/>
          <w:szCs w:val="20"/>
          <w:color w:val="auto"/>
        </w:rPr>
      </w:pPr>
    </w:p>
    <w:p>
      <w:pPr>
        <w:jc w:val="both"/>
        <w:ind w:left="2" w:right="20"/>
        <w:spacing w:after="0" w:line="272" w:lineRule="auto"/>
        <w:rPr>
          <w:sz w:val="20"/>
          <w:szCs w:val="20"/>
          <w:color w:val="auto"/>
        </w:rPr>
      </w:pPr>
      <w:r>
        <w:rPr>
          <w:rFonts w:ascii="Arial" w:cs="Arial" w:eastAsia="Arial" w:hAnsi="Arial"/>
          <w:sz w:val="16"/>
          <w:szCs w:val="16"/>
          <w:b w:val="1"/>
          <w:bCs w:val="1"/>
          <w:color w:val="auto"/>
        </w:rPr>
        <w:t xml:space="preserve">Banco Latinoamericano de Comercio Exterior, S.A. </w:t>
      </w:r>
      <w:r>
        <w:rPr>
          <w:rFonts w:ascii="Arial" w:cs="Arial" w:eastAsia="Arial" w:hAnsi="Arial"/>
          <w:sz w:val="16"/>
          <w:szCs w:val="16"/>
          <w:color w:val="auto"/>
        </w:rPr>
        <w:t>(NYSE: BLX, “Bladex”, or “the Bank”), a Panama-based multinational bank originally established by the central</w:t>
      </w:r>
      <w:r>
        <w:rPr>
          <w:rFonts w:ascii="Arial" w:cs="Arial" w:eastAsia="Arial" w:hAnsi="Arial"/>
          <w:sz w:val="16"/>
          <w:szCs w:val="16"/>
          <w:b w:val="1"/>
          <w:bCs w:val="1"/>
          <w:color w:val="auto"/>
        </w:rPr>
        <w:t xml:space="preserve"> </w:t>
      </w:r>
      <w:r>
        <w:rPr>
          <w:rFonts w:ascii="Arial" w:cs="Arial" w:eastAsia="Arial" w:hAnsi="Arial"/>
          <w:sz w:val="16"/>
          <w:szCs w:val="16"/>
          <w:color w:val="auto"/>
        </w:rPr>
        <w:t>banks of 23 Latin-American and Caribbean countries to promote foreign trade and economic integration in the Region, today announced its results for the Second Quarter (“2Q21”) and six months (“6M21”) ended June 30, 2021.</w:t>
      </w:r>
    </w:p>
    <w:p>
      <w:pPr>
        <w:spacing w:after="0" w:line="86" w:lineRule="exact"/>
        <w:rPr>
          <w:sz w:val="20"/>
          <w:szCs w:val="20"/>
          <w:color w:val="auto"/>
        </w:rPr>
      </w:pPr>
    </w:p>
    <w:p>
      <w:pPr>
        <w:jc w:val="both"/>
        <w:ind w:left="2" w:right="20"/>
        <w:spacing w:after="0" w:line="284" w:lineRule="auto"/>
        <w:rPr>
          <w:sz w:val="20"/>
          <w:szCs w:val="20"/>
          <w:color w:val="auto"/>
        </w:rPr>
      </w:pPr>
      <w:r>
        <w:rPr>
          <w:rFonts w:ascii="Arial" w:cs="Arial" w:eastAsia="Arial" w:hAnsi="Arial"/>
          <w:sz w:val="16"/>
          <w:szCs w:val="16"/>
          <w:color w:val="auto"/>
        </w:rPr>
        <w:t>The consolidated financial information in this document has been prepared in accordance with International Financial Reporting Standards (“IFRS”) as issued by the International Accounting Standards Board (“IASB”).</w:t>
      </w:r>
    </w:p>
    <w:p>
      <w:pPr>
        <w:spacing w:after="0" w:line="73" w:lineRule="exact"/>
        <w:rPr>
          <w:sz w:val="20"/>
          <w:szCs w:val="20"/>
          <w:color w:val="auto"/>
        </w:rPr>
      </w:pPr>
    </w:p>
    <w:tbl>
      <w:tblPr>
        <w:tblLayout w:type="fixed"/>
        <w:tblInd w:w="2" w:type="dxa"/>
        <w:tblCellMar>
          <w:top w:w="0" w:type="dxa"/>
          <w:left w:w="0" w:type="dxa"/>
          <w:bottom w:w="0" w:type="dxa"/>
          <w:right w:w="0" w:type="dxa"/>
        </w:tblCellMar>
      </w:tblPr>
      <w:tr>
        <w:trPr>
          <w:trHeight w:val="211"/>
        </w:trPr>
        <w:tc>
          <w:tcPr>
            <w:tcW w:w="4340" w:type="dxa"/>
            <w:vAlign w:val="bottom"/>
            <w:gridSpan w:val="2"/>
          </w:tcPr>
          <w:p>
            <w:pPr>
              <w:spacing w:after="0"/>
              <w:rPr>
                <w:sz w:val="20"/>
                <w:szCs w:val="20"/>
                <w:color w:val="auto"/>
              </w:rPr>
            </w:pPr>
            <w:r>
              <w:rPr>
                <w:rFonts w:ascii="Arial" w:cs="Arial" w:eastAsia="Arial" w:hAnsi="Arial"/>
                <w:sz w:val="16"/>
                <w:szCs w:val="16"/>
                <w:b w:val="1"/>
                <w:bCs w:val="1"/>
                <w:color w:val="auto"/>
              </w:rPr>
              <w:t>FINANCIAL SNAPSHOT</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23"/>
        </w:trPr>
        <w:tc>
          <w:tcPr>
            <w:tcW w:w="20" w:type="dxa"/>
            <w:vAlign w:val="bottom"/>
            <w:vMerge w:val="restart"/>
          </w:tcPr>
          <w:p>
            <w:pPr>
              <w:spacing w:after="0"/>
              <w:rPr>
                <w:sz w:val="10"/>
                <w:szCs w:val="10"/>
                <w:color w:val="auto"/>
              </w:rPr>
            </w:pPr>
          </w:p>
        </w:tc>
        <w:tc>
          <w:tcPr>
            <w:tcW w:w="4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98"/>
              </w:rPr>
              <w:t>(US$ million, except percentages and per share amounts)</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520"/>
              <w:spacing w:after="0"/>
              <w:rPr>
                <w:sz w:val="20"/>
                <w:szCs w:val="20"/>
                <w:color w:val="auto"/>
              </w:rPr>
            </w:pPr>
            <w:r>
              <w:rPr>
                <w:rFonts w:ascii="Arial" w:cs="Arial" w:eastAsia="Arial" w:hAnsi="Arial"/>
                <w:sz w:val="16"/>
                <w:szCs w:val="16"/>
                <w:b w:val="1"/>
                <w:bCs w:val="1"/>
                <w:color w:val="auto"/>
              </w:rPr>
              <w:t>2Q21</w:t>
            </w:r>
          </w:p>
        </w:tc>
        <w:tc>
          <w:tcPr>
            <w:tcW w:w="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520"/>
              <w:spacing w:after="0"/>
              <w:rPr>
                <w:sz w:val="20"/>
                <w:szCs w:val="20"/>
                <w:color w:val="auto"/>
              </w:rPr>
            </w:pPr>
            <w:r>
              <w:rPr>
                <w:rFonts w:ascii="Arial" w:cs="Arial" w:eastAsia="Arial" w:hAnsi="Arial"/>
                <w:sz w:val="16"/>
                <w:szCs w:val="16"/>
                <w:b w:val="1"/>
                <w:bCs w:val="1"/>
                <w:color w:val="auto"/>
              </w:rPr>
              <w:t>1Q21</w:t>
            </w: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580"/>
              <w:spacing w:after="0"/>
              <w:rPr>
                <w:sz w:val="20"/>
                <w:szCs w:val="20"/>
                <w:color w:val="auto"/>
              </w:rPr>
            </w:pPr>
            <w:r>
              <w:rPr>
                <w:rFonts w:ascii="Arial" w:cs="Arial" w:eastAsia="Arial" w:hAnsi="Arial"/>
                <w:sz w:val="16"/>
                <w:szCs w:val="16"/>
                <w:b w:val="1"/>
                <w:bCs w:val="1"/>
                <w:color w:val="auto"/>
              </w:rPr>
              <w:t>2Q20</w:t>
            </w:r>
          </w:p>
        </w:tc>
        <w:tc>
          <w:tcPr>
            <w:tcW w:w="26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500"/>
              <w:spacing w:after="0"/>
              <w:rPr>
                <w:sz w:val="20"/>
                <w:szCs w:val="20"/>
                <w:color w:val="auto"/>
              </w:rPr>
            </w:pPr>
            <w:r>
              <w:rPr>
                <w:rFonts w:ascii="Arial" w:cs="Arial" w:eastAsia="Arial" w:hAnsi="Arial"/>
                <w:sz w:val="16"/>
                <w:szCs w:val="16"/>
                <w:b w:val="1"/>
                <w:bCs w:val="1"/>
                <w:color w:val="auto"/>
              </w:rPr>
              <w:t>6M21</w:t>
            </w: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460"/>
              <w:spacing w:after="0"/>
              <w:rPr>
                <w:sz w:val="20"/>
                <w:szCs w:val="20"/>
                <w:color w:val="auto"/>
              </w:rPr>
            </w:pPr>
            <w:r>
              <w:rPr>
                <w:rFonts w:ascii="Arial" w:cs="Arial" w:eastAsia="Arial" w:hAnsi="Arial"/>
                <w:sz w:val="16"/>
                <w:szCs w:val="16"/>
                <w:b w:val="1"/>
                <w:bCs w:val="1"/>
                <w:color w:val="auto"/>
              </w:rPr>
              <w:t>6M20</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43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Key Income Statement Highlights</w:t>
            </w:r>
          </w:p>
        </w:tc>
        <w:tc>
          <w:tcPr>
            <w:tcW w:w="100" w:type="dxa"/>
            <w:vAlign w:val="bottom"/>
            <w:tcBorders>
              <w:top w:val="single" w:sz="8" w:color="CCEEFF"/>
            </w:tcBorders>
            <w:shd w:val="clear" w:color="auto" w:fill="CCEEFF"/>
          </w:tcPr>
          <w:p>
            <w:pPr>
              <w:spacing w:after="0"/>
              <w:rPr>
                <w:sz w:val="16"/>
                <w:szCs w:val="16"/>
                <w:color w:val="auto"/>
              </w:rPr>
            </w:pPr>
          </w:p>
        </w:tc>
        <w:tc>
          <w:tcPr>
            <w:tcW w:w="240" w:type="dxa"/>
            <w:vAlign w:val="bottom"/>
            <w:tcBorders>
              <w:top w:val="single" w:sz="8" w:color="auto"/>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Net Interest Income ("NII")</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21.0</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18.9</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6"/>
                <w:szCs w:val="16"/>
                <w:color w:val="auto"/>
              </w:rPr>
              <w:t>21.7</w:t>
            </w: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39.9</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47.5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Fees and commissions, net</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4.3</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3.0</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w:t>
            </w:r>
          </w:p>
        </w:tc>
        <w:tc>
          <w:tcPr>
            <w:tcW w:w="280" w:type="dxa"/>
            <w:vAlign w:val="bottom"/>
            <w:shd w:val="clear" w:color="auto" w:fill="CCEEFF"/>
          </w:tcPr>
          <w:p>
            <w:pPr>
              <w:spacing w:after="0"/>
              <w:rPr>
                <w:sz w:val="16"/>
                <w:szCs w:val="16"/>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7.3</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Gain (loss) on financial instruments, net</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0.2</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(0.1)</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(3.9)</w:t>
            </w: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0.2</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6"/>
                <w:szCs w:val="16"/>
                <w:color w:val="auto"/>
              </w:rPr>
              <w:t>(4.3)</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Total revenues</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25.6</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22.0</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19.9</w:t>
            </w: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47.6</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48.7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(Provision) reversal for credit losses</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6"/>
                <w:szCs w:val="16"/>
                <w:color w:val="auto"/>
              </w:rPr>
              <w:t>(1.4)</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0.0</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tcPr>
          <w:p>
            <w:pPr>
              <w:jc w:val="right"/>
              <w:spacing w:after="0"/>
              <w:rPr>
                <w:sz w:val="20"/>
                <w:szCs w:val="20"/>
                <w:color w:val="auto"/>
              </w:rPr>
            </w:pPr>
            <w:r>
              <w:rPr>
                <w:rFonts w:ascii="Arial" w:cs="Arial" w:eastAsia="Arial" w:hAnsi="Arial"/>
                <w:sz w:val="16"/>
                <w:szCs w:val="16"/>
                <w:color w:val="auto"/>
              </w:rPr>
              <w:t>2.6</w:t>
            </w:r>
          </w:p>
        </w:tc>
        <w:tc>
          <w:tcPr>
            <w:tcW w:w="280" w:type="dxa"/>
            <w:vAlign w:val="bottom"/>
          </w:tcPr>
          <w:p>
            <w:pPr>
              <w:spacing w:after="0"/>
              <w:rPr>
                <w:sz w:val="16"/>
                <w:szCs w:val="16"/>
                <w:color w:val="auto"/>
              </w:rPr>
            </w:pP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(1.4)</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2.7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Operating expenses</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(10.1)</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(9.1)</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(8.3)</w:t>
            </w: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(19.3)</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(18.8)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Profit for the period</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14.1</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12.8</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6"/>
                <w:szCs w:val="16"/>
                <w:color w:val="auto"/>
              </w:rPr>
              <w:t>14.1</w:t>
            </w: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26.9</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32.4</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Profitability Ratios</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Earnings per Share ("EPS") </w:t>
            </w:r>
            <w:r>
              <w:rPr>
                <w:rFonts w:ascii="Arial" w:cs="Arial" w:eastAsia="Arial" w:hAnsi="Arial"/>
                <w:sz w:val="26"/>
                <w:szCs w:val="26"/>
                <w:color w:val="auto"/>
                <w:vertAlign w:val="superscript"/>
              </w:rPr>
              <w:t>(1)</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0.36</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0.32</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6"/>
                <w:szCs w:val="16"/>
                <w:color w:val="auto"/>
              </w:rPr>
              <w:t>0.36</w:t>
            </w: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0.68</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0.82</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Return on Average Equity (“ROAE”) </w:t>
            </w:r>
            <w:r>
              <w:rPr>
                <w:rFonts w:ascii="Arial" w:cs="Arial" w:eastAsia="Arial" w:hAnsi="Arial"/>
                <w:sz w:val="26"/>
                <w:szCs w:val="26"/>
                <w:color w:val="auto"/>
                <w:vertAlign w:val="superscript"/>
              </w:rPr>
              <w:t>(2)</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5.4%</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5.0%</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5.5%</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5.2%</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6.4%</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Return on Average Assets (“ROAA”)</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0.8%</w:t>
            </w:r>
          </w:p>
        </w:tc>
        <w:tc>
          <w:tcPr>
            <w:tcW w:w="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0.8%</w:t>
            </w:r>
          </w:p>
        </w:tc>
        <w:tc>
          <w:tcPr>
            <w:tcW w:w="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6"/>
                <w:szCs w:val="16"/>
                <w:color w:val="auto"/>
              </w:rPr>
              <w:t>0.8%</w:t>
            </w:r>
          </w:p>
        </w:tc>
        <w:tc>
          <w:tcPr>
            <w:tcW w:w="260" w:type="dxa"/>
            <w:vAlign w:val="bottom"/>
          </w:tcPr>
          <w:p>
            <w:pPr>
              <w:spacing w:after="0"/>
              <w:rPr>
                <w:sz w:val="16"/>
                <w:szCs w:val="16"/>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0.8%</w:t>
            </w:r>
          </w:p>
        </w:tc>
        <w:tc>
          <w:tcPr>
            <w:tcW w:w="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1.0%</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Net Interest Margin ("NIM") </w:t>
            </w:r>
            <w:r>
              <w:rPr>
                <w:rFonts w:ascii="Arial" w:cs="Arial" w:eastAsia="Arial" w:hAnsi="Arial"/>
                <w:sz w:val="26"/>
                <w:szCs w:val="26"/>
                <w:color w:val="auto"/>
                <w:vertAlign w:val="superscript"/>
              </w:rPr>
              <w:t>(3)</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1.27%</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1.24%</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1.28%</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1.26%</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1.43%</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Net Interest Spread ("NIS") </w:t>
            </w:r>
            <w:r>
              <w:rPr>
                <w:rFonts w:ascii="Arial" w:cs="Arial" w:eastAsia="Arial" w:hAnsi="Arial"/>
                <w:sz w:val="26"/>
                <w:szCs w:val="26"/>
                <w:color w:val="auto"/>
                <w:vertAlign w:val="superscript"/>
              </w:rPr>
              <w:t>(4)</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1.11%</w:t>
            </w: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1.04%</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6"/>
                <w:szCs w:val="16"/>
                <w:color w:val="auto"/>
              </w:rPr>
              <w:t>1.01%</w:t>
            </w: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1.08%</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1.09%</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Efficiency Ratio </w:t>
            </w:r>
            <w:r>
              <w:rPr>
                <w:rFonts w:ascii="Arial" w:cs="Arial" w:eastAsia="Arial" w:hAnsi="Arial"/>
                <w:sz w:val="26"/>
                <w:szCs w:val="26"/>
                <w:color w:val="auto"/>
                <w:vertAlign w:val="superscript"/>
              </w:rPr>
              <w:t>(5)</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39.6%</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41.6%</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41.5%</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40.5%</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38.7%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b w:val="1"/>
                <w:bCs w:val="1"/>
                <w:color w:val="auto"/>
              </w:rPr>
              <w:t>Assets, Capital, Liquidity &amp; Credit Quality</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Credit Portfolio </w:t>
            </w:r>
            <w:r>
              <w:rPr>
                <w:rFonts w:ascii="Arial" w:cs="Arial" w:eastAsia="Arial" w:hAnsi="Arial"/>
                <w:sz w:val="26"/>
                <w:szCs w:val="26"/>
                <w:color w:val="auto"/>
                <w:vertAlign w:val="superscript"/>
              </w:rPr>
              <w:t>(6)</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6,531</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6,097</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5,011</w:t>
            </w: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6,531</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5,011</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Commercial Portfolio </w:t>
            </w:r>
            <w:r>
              <w:rPr>
                <w:rFonts w:ascii="Arial" w:cs="Arial" w:eastAsia="Arial" w:hAnsi="Arial"/>
                <w:sz w:val="26"/>
                <w:szCs w:val="26"/>
                <w:color w:val="auto"/>
                <w:vertAlign w:val="superscript"/>
              </w:rPr>
              <w:t>(7)</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6,008</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5,708</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tcPr>
          <w:p>
            <w:pPr>
              <w:jc w:val="right"/>
              <w:spacing w:after="0"/>
              <w:rPr>
                <w:sz w:val="20"/>
                <w:szCs w:val="20"/>
                <w:color w:val="auto"/>
              </w:rPr>
            </w:pPr>
            <w:r>
              <w:rPr>
                <w:rFonts w:ascii="Arial" w:cs="Arial" w:eastAsia="Arial" w:hAnsi="Arial"/>
                <w:sz w:val="16"/>
                <w:szCs w:val="16"/>
                <w:color w:val="auto"/>
              </w:rPr>
              <w:t>4,915</w:t>
            </w:r>
          </w:p>
        </w:tc>
        <w:tc>
          <w:tcPr>
            <w:tcW w:w="280" w:type="dxa"/>
            <w:vAlign w:val="bottom"/>
          </w:tcPr>
          <w:p>
            <w:pPr>
              <w:spacing w:after="0"/>
              <w:rPr>
                <w:sz w:val="20"/>
                <w:szCs w:val="20"/>
                <w:color w:val="auto"/>
              </w:rPr>
            </w:pP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6,008</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4,915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Investment Portfolio</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523</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389</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280" w:type="dxa"/>
            <w:vAlign w:val="bottom"/>
            <w:shd w:val="clear" w:color="auto" w:fill="CCEEFF"/>
          </w:tcPr>
          <w:p>
            <w:pPr>
              <w:spacing w:after="0"/>
              <w:rPr>
                <w:sz w:val="16"/>
                <w:szCs w:val="16"/>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523</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96</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Total assets</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6,723</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6,375</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tcPr>
          <w:p>
            <w:pPr>
              <w:jc w:val="right"/>
              <w:spacing w:after="0"/>
              <w:rPr>
                <w:sz w:val="20"/>
                <w:szCs w:val="20"/>
                <w:color w:val="auto"/>
              </w:rPr>
            </w:pPr>
            <w:r>
              <w:rPr>
                <w:rFonts w:ascii="Arial" w:cs="Arial" w:eastAsia="Arial" w:hAnsi="Arial"/>
                <w:sz w:val="16"/>
                <w:szCs w:val="16"/>
                <w:color w:val="auto"/>
              </w:rPr>
              <w:t>6,627</w:t>
            </w:r>
          </w:p>
        </w:tc>
        <w:tc>
          <w:tcPr>
            <w:tcW w:w="280" w:type="dxa"/>
            <w:vAlign w:val="bottom"/>
          </w:tcPr>
          <w:p>
            <w:pPr>
              <w:spacing w:after="0"/>
              <w:rPr>
                <w:sz w:val="16"/>
                <w:szCs w:val="16"/>
                <w:color w:val="auto"/>
              </w:rPr>
            </w:pP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6,723</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6,627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Total equity</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1,031</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1,037</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1,022</w:t>
            </w:r>
          </w:p>
        </w:tc>
        <w:tc>
          <w:tcPr>
            <w:tcW w:w="280" w:type="dxa"/>
            <w:vAlign w:val="bottom"/>
            <w:shd w:val="clear" w:color="auto" w:fill="CCEEFF"/>
          </w:tcPr>
          <w:p>
            <w:pPr>
              <w:spacing w:after="0"/>
              <w:rPr>
                <w:sz w:val="16"/>
                <w:szCs w:val="16"/>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1,031</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1,022</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Market capitalization </w:t>
            </w:r>
            <w:r>
              <w:rPr>
                <w:rFonts w:ascii="Arial" w:cs="Arial" w:eastAsia="Arial" w:hAnsi="Arial"/>
                <w:sz w:val="26"/>
                <w:szCs w:val="26"/>
                <w:color w:val="auto"/>
                <w:vertAlign w:val="superscript"/>
              </w:rPr>
              <w:t>(8)</w:t>
            </w:r>
          </w:p>
        </w:tc>
        <w:tc>
          <w:tcPr>
            <w:tcW w:w="3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605</w:t>
            </w:r>
          </w:p>
        </w:tc>
        <w:tc>
          <w:tcPr>
            <w:tcW w:w="3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601</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6"/>
                <w:szCs w:val="16"/>
                <w:color w:val="auto"/>
              </w:rPr>
              <w:t>456</w:t>
            </w: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060" w:type="dxa"/>
            <w:vAlign w:val="bottom"/>
            <w:gridSpan w:val="2"/>
          </w:tcPr>
          <w:p>
            <w:pPr>
              <w:jc w:val="right"/>
              <w:ind w:right="200"/>
              <w:spacing w:after="0"/>
              <w:rPr>
                <w:sz w:val="20"/>
                <w:szCs w:val="20"/>
                <w:color w:val="auto"/>
              </w:rPr>
            </w:pPr>
            <w:r>
              <w:rPr>
                <w:rFonts w:ascii="Arial" w:cs="Arial" w:eastAsia="Arial" w:hAnsi="Arial"/>
                <w:sz w:val="16"/>
                <w:szCs w:val="16"/>
                <w:color w:val="auto"/>
              </w:rPr>
              <w:t>605</w:t>
            </w:r>
          </w:p>
        </w:tc>
        <w:tc>
          <w:tcPr>
            <w:tcW w:w="3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456</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Tier 1 Capital to risk-weighted assets (Basel III – IRB) </w:t>
            </w:r>
            <w:r>
              <w:rPr>
                <w:rFonts w:ascii="Arial" w:cs="Arial" w:eastAsia="Arial" w:hAnsi="Arial"/>
                <w:sz w:val="26"/>
                <w:szCs w:val="26"/>
                <w:color w:val="auto"/>
                <w:vertAlign w:val="superscript"/>
              </w:rPr>
              <w:t>(9)</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23.6%</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26.3%</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24.8%</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23.6%</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24.8%</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Capital Adequacy Ratio (Regulatory) </w:t>
            </w:r>
            <w:r>
              <w:rPr>
                <w:rFonts w:ascii="Arial" w:cs="Arial" w:eastAsia="Arial" w:hAnsi="Arial"/>
                <w:sz w:val="26"/>
                <w:szCs w:val="26"/>
                <w:color w:val="auto"/>
                <w:vertAlign w:val="superscript"/>
              </w:rPr>
              <w:t>(10)</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18.2%</w:t>
            </w: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19.4%</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6"/>
                <w:szCs w:val="16"/>
                <w:color w:val="auto"/>
              </w:rPr>
              <w:t>22.1%</w:t>
            </w: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18.2%</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22.1%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320" w:type="dxa"/>
            <w:vAlign w:val="bottom"/>
            <w:shd w:val="clear" w:color="auto" w:fill="CCEEFF"/>
          </w:tcPr>
          <w:p>
            <w:pPr>
              <w:spacing w:after="0"/>
              <w:rPr>
                <w:sz w:val="20"/>
                <w:szCs w:val="20"/>
                <w:color w:val="auto"/>
              </w:rPr>
            </w:pPr>
            <w:r>
              <w:rPr>
                <w:rFonts w:ascii="Arial" w:cs="Arial" w:eastAsia="Arial" w:hAnsi="Arial"/>
                <w:sz w:val="16"/>
                <w:szCs w:val="16"/>
                <w:color w:val="auto"/>
              </w:rPr>
              <w:t>Total assets / Total equity (times)</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6.5</w:t>
            </w:r>
          </w:p>
        </w:tc>
        <w:tc>
          <w:tcPr>
            <w:tcW w:w="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6.1</w:t>
            </w: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6.5</w:t>
            </w:r>
          </w:p>
        </w:tc>
        <w:tc>
          <w:tcPr>
            <w:tcW w:w="2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6.5</w:t>
            </w: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6.5</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Liquid Assets / Total Assets </w:t>
            </w:r>
            <w:r>
              <w:rPr>
                <w:rFonts w:ascii="Arial" w:cs="Arial" w:eastAsia="Arial" w:hAnsi="Arial"/>
                <w:sz w:val="26"/>
                <w:szCs w:val="26"/>
                <w:color w:val="auto"/>
                <w:vertAlign w:val="superscript"/>
              </w:rPr>
              <w:t>(11)</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14.9%</w:t>
            </w: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15.6%</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6"/>
                <w:szCs w:val="16"/>
                <w:color w:val="auto"/>
              </w:rPr>
              <w:t>29.6%</w:t>
            </w: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14.9%</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29.6%</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Credit-impaired loans to Loan Portfolio </w:t>
            </w:r>
            <w:r>
              <w:rPr>
                <w:rFonts w:ascii="Arial" w:cs="Arial" w:eastAsia="Arial" w:hAnsi="Arial"/>
                <w:sz w:val="26"/>
                <w:szCs w:val="26"/>
                <w:color w:val="auto"/>
                <w:vertAlign w:val="superscript"/>
              </w:rPr>
              <w:t>(12)</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0.20%</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0.21%</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0.00%</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0.20%</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0.00%</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tcPr>
          <w:p>
            <w:pPr>
              <w:spacing w:after="0" w:line="232" w:lineRule="exact"/>
              <w:rPr>
                <w:sz w:val="20"/>
                <w:szCs w:val="20"/>
                <w:color w:val="auto"/>
              </w:rPr>
            </w:pPr>
            <w:r>
              <w:rPr>
                <w:rFonts w:ascii="Arial" w:cs="Arial" w:eastAsia="Arial" w:hAnsi="Arial"/>
                <w:sz w:val="16"/>
                <w:szCs w:val="16"/>
                <w:color w:val="auto"/>
              </w:rPr>
              <w:t xml:space="preserve">Total allowance for losses to Credit Portfolio </w:t>
            </w:r>
            <w:r>
              <w:rPr>
                <w:rFonts w:ascii="Arial" w:cs="Arial" w:eastAsia="Arial" w:hAnsi="Arial"/>
                <w:sz w:val="26"/>
                <w:szCs w:val="26"/>
                <w:color w:val="auto"/>
                <w:vertAlign w:val="superscript"/>
              </w:rPr>
              <w:t>(13)</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0.71%</w:t>
            </w: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0.73%</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6"/>
                <w:szCs w:val="16"/>
                <w:color w:val="auto"/>
              </w:rPr>
              <w:t>0.95%</w:t>
            </w:r>
          </w:p>
        </w:tc>
        <w:tc>
          <w:tcPr>
            <w:tcW w:w="26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0.71%</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0.95%</w:t>
            </w: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432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w w:val="96"/>
              </w:rPr>
              <w:t xml:space="preserve">Total allowance for losses to credit-impaired loans (times) </w:t>
            </w:r>
            <w:r>
              <w:rPr>
                <w:rFonts w:ascii="Arial" w:cs="Arial" w:eastAsia="Arial" w:hAnsi="Arial"/>
                <w:sz w:val="26"/>
                <w:szCs w:val="26"/>
                <w:color w:val="auto"/>
                <w:w w:val="96"/>
                <w:vertAlign w:val="superscript"/>
              </w:rPr>
              <w:t>(13)</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4.4</w:t>
            </w: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4.2</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n.m.</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4.4</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n.m.</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320" w:type="dxa"/>
            <w:vAlign w:val="bottom"/>
          </w:tcPr>
          <w:p>
            <w:pPr>
              <w:spacing w:after="0"/>
              <w:rPr>
                <w:sz w:val="20"/>
                <w:szCs w:val="20"/>
                <w:color w:val="auto"/>
              </w:rPr>
            </w:pPr>
            <w:r>
              <w:rPr>
                <w:rFonts w:ascii="Arial" w:cs="Arial" w:eastAsia="Arial" w:hAnsi="Arial"/>
                <w:sz w:val="16"/>
                <w:szCs w:val="16"/>
                <w:color w:val="auto"/>
              </w:rPr>
              <w:t>"n.m." means not meaningful.</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-4184015</wp:posOffset>
            </wp:positionV>
            <wp:extent cx="7145655" cy="1238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45655" cy="123825"/>
                    </a:xfrm>
                    <a:prstGeom prst="rect">
                      <a:avLst/>
                    </a:prstGeom>
                    <a:noFill/>
                  </pic:spPr>
                </pic:pic>
              </a:graphicData>
            </a:graphic>
          </wp:anchor>
        </w:drawing>
      </w:r>
    </w:p>
    <w:p>
      <w:pPr>
        <w:spacing w:after="0" w:line="74" w:lineRule="exact"/>
        <w:rPr>
          <w:sz w:val="20"/>
          <w:szCs w:val="20"/>
          <w:color w:val="auto"/>
        </w:rPr>
      </w:pPr>
    </w:p>
    <w:p>
      <w:pPr>
        <w:ind w:left="2"/>
        <w:spacing w:after="0"/>
        <w:rPr>
          <w:sz w:val="20"/>
          <w:szCs w:val="20"/>
          <w:color w:val="auto"/>
        </w:rPr>
      </w:pPr>
      <w:r>
        <w:rPr>
          <w:rFonts w:ascii="Arial" w:cs="Arial" w:eastAsia="Arial" w:hAnsi="Arial"/>
          <w:sz w:val="16"/>
          <w:szCs w:val="16"/>
          <w:b w:val="1"/>
          <w:bCs w:val="1"/>
          <w:color w:val="auto"/>
        </w:rPr>
        <w:t>BUSINESS HIGHLIGHTS</w:t>
      </w:r>
    </w:p>
    <w:p>
      <w:pPr>
        <w:spacing w:after="0" w:line="137" w:lineRule="exact"/>
        <w:rPr>
          <w:sz w:val="20"/>
          <w:szCs w:val="20"/>
          <w:color w:val="auto"/>
        </w:rPr>
      </w:pPr>
    </w:p>
    <w:p>
      <w:pPr>
        <w:ind w:left="302" w:right="60" w:hanging="302"/>
        <w:spacing w:after="0" w:line="284" w:lineRule="auto"/>
        <w:tabs>
          <w:tab w:leader="none" w:pos="302"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Bladex’s Profit increased 10% QoQ (Stable YoY) to $14.1 million for the 2Q21, driven by solid quarterly revenue growth (+17% QoQ) from increased Net Interest Income (“NII”) on higher average credits, and from an uplift in Fees.</w:t>
      </w:r>
    </w:p>
    <w:p>
      <w:pPr>
        <w:spacing w:after="0" w:line="77" w:lineRule="exact"/>
        <w:rPr>
          <w:rFonts w:ascii="Arial" w:cs="Arial" w:eastAsia="Arial" w:hAnsi="Arial"/>
          <w:sz w:val="16"/>
          <w:szCs w:val="16"/>
          <w:color w:val="auto"/>
        </w:rPr>
      </w:pPr>
    </w:p>
    <w:p>
      <w:pPr>
        <w:ind w:left="302" w:right="60" w:hanging="302"/>
        <w:spacing w:after="0" w:line="284" w:lineRule="auto"/>
        <w:tabs>
          <w:tab w:leader="none" w:pos="302"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Bank’s Profit for 6M21 totaled $26.9 million, down 17% YoY, mostly impacted by the net effect of lower Libor-based market rates on the Bank’s assets and liabilities, reducing NII by 16% YoY.</w:t>
      </w:r>
    </w:p>
    <w:p>
      <w:pPr>
        <w:spacing w:after="0" w:line="77" w:lineRule="exact"/>
        <w:rPr>
          <w:rFonts w:ascii="Arial" w:cs="Arial" w:eastAsia="Arial" w:hAnsi="Arial"/>
          <w:sz w:val="16"/>
          <w:szCs w:val="16"/>
          <w:color w:val="auto"/>
        </w:rPr>
      </w:pPr>
    </w:p>
    <w:p>
      <w:pPr>
        <w:ind w:left="302" w:right="60" w:hanging="302"/>
        <w:spacing w:after="0" w:line="284" w:lineRule="auto"/>
        <w:tabs>
          <w:tab w:leader="none" w:pos="302" w:val="left"/>
        </w:tabs>
        <w:numPr>
          <w:ilvl w:val="0"/>
          <w:numId w:val="1"/>
        </w:numPr>
        <w:rPr>
          <w:rFonts w:ascii="Arial" w:cs="Arial" w:eastAsia="Arial" w:hAnsi="Arial"/>
          <w:sz w:val="16"/>
          <w:szCs w:val="16"/>
          <w:color w:val="auto"/>
        </w:rPr>
      </w:pPr>
      <w:r>
        <w:rPr>
          <w:rFonts w:ascii="Arial" w:cs="Arial" w:eastAsia="Arial" w:hAnsi="Arial"/>
          <w:sz w:val="16"/>
          <w:szCs w:val="16"/>
          <w:color w:val="auto"/>
        </w:rPr>
        <w:t>Commercial Portfolio reached $6 billion at quarter-end, up 5% QoQ and 22% YoY, on a continued quarterly growth trend since a year ago, having increased lending origination by 11% QoQ and by 205%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367030</wp:posOffset>
            </wp:positionV>
            <wp:extent cx="7145655"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4262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426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302" w:hanging="302"/>
        <w:spacing w:after="0" w:line="284"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The Bank maintains its collection rate of close to 100% on loan maturities, evidencing the high quality of its borrower base of financial institutions (49%) and sovereign and state-owned corporations (18%), as well as the short-term nature of its business (78% maturing in less than a year).</w:t>
      </w:r>
    </w:p>
    <w:p>
      <w:pPr>
        <w:spacing w:after="0" w:line="174" w:lineRule="exact"/>
        <w:rPr>
          <w:rFonts w:ascii="Arial" w:cs="Arial" w:eastAsia="Arial" w:hAnsi="Arial"/>
          <w:sz w:val="16"/>
          <w:szCs w:val="16"/>
          <w:color w:val="auto"/>
        </w:rPr>
      </w:pPr>
    </w:p>
    <w:p>
      <w:pPr>
        <w:jc w:val="both"/>
        <w:ind w:left="302" w:hanging="302"/>
        <w:spacing w:after="0" w:line="269"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Growth in the Investment Portfolio (+34% QoQ) continues to be well diversified and predominantly investment grade rated, propelled by a 72% QoQ increase in Latin American securities complementing the Bank’s Loan Portfolio, in addition to a stable high quality liquid asset (“HQLA”) bond portfolio aimed to enhance liquidity yields.</w:t>
      </w:r>
    </w:p>
    <w:p>
      <w:pPr>
        <w:spacing w:after="0" w:line="186" w:lineRule="exact"/>
        <w:rPr>
          <w:rFonts w:ascii="Arial" w:cs="Arial" w:eastAsia="Arial" w:hAnsi="Arial"/>
          <w:sz w:val="16"/>
          <w:szCs w:val="16"/>
          <w:color w:val="auto"/>
        </w:rPr>
      </w:pPr>
    </w:p>
    <w:p>
      <w:pPr>
        <w:jc w:val="both"/>
        <w:ind w:left="302" w:hanging="302"/>
        <w:spacing w:after="0" w:line="269"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NII increased 11% QoQ to $21 million in 2Q21, mainly on higher average lending volumes (+12% QoQ) and lower average funding costs (-17 bps QoQ), partly offset by the continued downward pressure of lending rates (-23 pbs QoQ). Tighter lending spreads, reaching pre-pandemic levels, relate to sustained solid credit quality and ample market liquidity.</w:t>
      </w:r>
    </w:p>
    <w:p>
      <w:pPr>
        <w:spacing w:after="0" w:line="186" w:lineRule="exact"/>
        <w:rPr>
          <w:rFonts w:ascii="Arial" w:cs="Arial" w:eastAsia="Arial" w:hAnsi="Arial"/>
          <w:sz w:val="16"/>
          <w:szCs w:val="16"/>
          <w:color w:val="auto"/>
        </w:rPr>
      </w:pPr>
    </w:p>
    <w:p>
      <w:pPr>
        <w:ind w:left="302" w:hanging="302"/>
        <w:spacing w:after="0" w:line="284"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On a YoY comparison, NII was down 3%, as the positive volume net effect driven by an improved interest-earning asset mix, with increased average loans and investments and decreased cash position, was offset by the impact of lower Libor-based market rates.</w:t>
      </w:r>
    </w:p>
    <w:p>
      <w:pPr>
        <w:spacing w:after="0" w:line="174" w:lineRule="exact"/>
        <w:rPr>
          <w:rFonts w:ascii="Arial" w:cs="Arial" w:eastAsia="Arial" w:hAnsi="Arial"/>
          <w:sz w:val="16"/>
          <w:szCs w:val="16"/>
          <w:color w:val="auto"/>
        </w:rPr>
      </w:pPr>
    </w:p>
    <w:p>
      <w:pPr>
        <w:ind w:left="302" w:hanging="302"/>
        <w:spacing w:after="0" w:line="284"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Fees and commissions income totaled $4.3 million for 2Q21, up 41% QoQ and 120% YoY, due to the sustained positive trend in the Bank’s letters of credit business, along with the return of loan syndications activity.</w:t>
      </w:r>
    </w:p>
    <w:p>
      <w:pPr>
        <w:spacing w:after="0" w:line="174" w:lineRule="exact"/>
        <w:rPr>
          <w:rFonts w:ascii="Arial" w:cs="Arial" w:eastAsia="Arial" w:hAnsi="Arial"/>
          <w:sz w:val="16"/>
          <w:szCs w:val="16"/>
          <w:color w:val="auto"/>
        </w:rPr>
      </w:pPr>
    </w:p>
    <w:p>
      <w:pPr>
        <w:ind w:left="302" w:hanging="302"/>
        <w:spacing w:after="0" w:line="284"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Asset quality remains sound, with credit-impaired loans (“NPLs”) representing 0.2% of total loans at June 30, 2021. Provision for credit losses of $1.4 million in 2Q21 mostly relate to strong credit origination, having 96% of total credits classified as Stage 1 (low risk) under IFRS 9.</w:t>
      </w:r>
    </w:p>
    <w:p>
      <w:pPr>
        <w:spacing w:after="0" w:line="174" w:lineRule="exact"/>
        <w:rPr>
          <w:rFonts w:ascii="Arial" w:cs="Arial" w:eastAsia="Arial" w:hAnsi="Arial"/>
          <w:sz w:val="16"/>
          <w:szCs w:val="16"/>
          <w:color w:val="auto"/>
        </w:rPr>
      </w:pPr>
    </w:p>
    <w:p>
      <w:pPr>
        <w:ind w:left="302" w:hanging="302"/>
        <w:spacing w:after="0" w:line="284"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Bladex´s liquidity position stood at $999 million, or 15% of total assets as of June 30, 2021, supported by its sound and well diversified funding structure, led by steady growth of its deposit base (+5 QoQ; +16% YoY).</w:t>
      </w:r>
    </w:p>
    <w:p>
      <w:pPr>
        <w:spacing w:after="0" w:line="174" w:lineRule="exact"/>
        <w:rPr>
          <w:rFonts w:ascii="Arial" w:cs="Arial" w:eastAsia="Arial" w:hAnsi="Arial"/>
          <w:sz w:val="16"/>
          <w:szCs w:val="16"/>
          <w:color w:val="auto"/>
        </w:rPr>
      </w:pPr>
    </w:p>
    <w:p>
      <w:pPr>
        <w:jc w:val="both"/>
        <w:ind w:left="302" w:hanging="302"/>
        <w:spacing w:after="0" w:line="269" w:lineRule="auto"/>
        <w:tabs>
          <w:tab w:leader="none" w:pos="302" w:val="left"/>
        </w:tabs>
        <w:numPr>
          <w:ilvl w:val="0"/>
          <w:numId w:val="2"/>
        </w:numPr>
        <w:rPr>
          <w:rFonts w:ascii="Arial" w:cs="Arial" w:eastAsia="Arial" w:hAnsi="Arial"/>
          <w:sz w:val="16"/>
          <w:szCs w:val="16"/>
          <w:color w:val="auto"/>
        </w:rPr>
      </w:pPr>
      <w:r>
        <w:rPr>
          <w:rFonts w:ascii="Arial" w:cs="Arial" w:eastAsia="Arial" w:hAnsi="Arial"/>
          <w:sz w:val="16"/>
          <w:szCs w:val="16"/>
          <w:color w:val="auto"/>
        </w:rPr>
        <w:t>As of June 30, 2021, the Bank´s capitalization remained solid with a Tier 1 Basel III Capital Ratio of 23.6% and a Regulatory Capital Adequacy Ratio of 18.2%. Ongoing Stock Repurchase has been executed as planned since mid-May 2021, having repurchased 728 thousand shares for a total of $11.2 million as of the date of this report.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374650</wp:posOffset>
            </wp:positionV>
            <wp:extent cx="7145655" cy="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02"/>
          </w:cols>
          <w:pgMar w:left="318" w:top="1440" w:right="37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CEO’s Comments</w:t>
      </w:r>
    </w:p>
    <w:p>
      <w:pPr>
        <w:spacing w:after="0" w:line="211" w:lineRule="exact"/>
        <w:rPr>
          <w:sz w:val="20"/>
          <w:szCs w:val="20"/>
          <w:color w:val="auto"/>
        </w:rPr>
      </w:pPr>
    </w:p>
    <w:p>
      <w:pPr>
        <w:jc w:val="both"/>
        <w:ind w:right="20"/>
        <w:spacing w:after="0" w:line="302" w:lineRule="auto"/>
        <w:rPr>
          <w:sz w:val="20"/>
          <w:szCs w:val="20"/>
          <w:color w:val="auto"/>
        </w:rPr>
      </w:pPr>
      <w:r>
        <w:rPr>
          <w:rFonts w:ascii="Arial" w:cs="Arial" w:eastAsia="Arial" w:hAnsi="Arial"/>
          <w:sz w:val="14"/>
          <w:szCs w:val="14"/>
          <w:color w:val="auto"/>
        </w:rPr>
        <w:t>Mr. Jorge Salas, Bladex’s Chief Executive Officer said: “Despite a slow vaccine rollout for most countries and daily new infections having peaked only a month ago, growth in the Region is starting to regain traction as the economies reopen, commodity prices hit record levels and remittances are also at record highs. In fact, just yesterday the IMF revised for the second time this year, its growth projection for 2021 for Latin America from 4.6% in April to 5.8%, with the two largest economies in the Region, Mexico and Brazil, growing at 6.3% and 5.3% respectively this year. Latam trade flows are expected to grow 21% in 2021, as world growth, especially in the U.S. and China, is fueling trade flows. In this context, second quarter results improved, with consistent growth and pristine asset quality, as we grew our loan and investment portfolios for the fourth consecutive quarter, while keeping asset quality sound with only 0.2% of NPLs to total loans. Most of the growth was once again, related to the recent commodity boom, which is associated to both prices and volumes. Revenues increased by 17% and net profit also rose 10% with respect to the previous quarter.”</w:t>
      </w:r>
    </w:p>
    <w:p>
      <w:pPr>
        <w:spacing w:after="0" w:line="144" w:lineRule="exact"/>
        <w:rPr>
          <w:sz w:val="20"/>
          <w:szCs w:val="20"/>
          <w:color w:val="auto"/>
        </w:rPr>
      </w:pPr>
    </w:p>
    <w:p>
      <w:pPr>
        <w:jc w:val="both"/>
        <w:ind w:right="20"/>
        <w:spacing w:after="0" w:line="264" w:lineRule="auto"/>
        <w:rPr>
          <w:sz w:val="20"/>
          <w:szCs w:val="20"/>
          <w:color w:val="auto"/>
        </w:rPr>
      </w:pPr>
      <w:r>
        <w:rPr>
          <w:rFonts w:ascii="Arial" w:cs="Arial" w:eastAsia="Arial" w:hAnsi="Arial"/>
          <w:sz w:val="16"/>
          <w:szCs w:val="16"/>
          <w:color w:val="auto"/>
        </w:rPr>
        <w:t>Mr. Salas added: “To further align our organizational structure and enhance our execution capabilities, during the second quarter, we created a new executive VP of Strategy to coordinate strategic planning and lead a project management office. New value-added structured services, that were driven by this new unit, are already in place. I am also pleased to report that the share buyback plan of up to $60 million announced last quarter, is being executed as planned and that the Board of Director decided to maintain the quarterly dividend of 25 cents per share.”</w:t>
      </w:r>
    </w:p>
    <w:p>
      <w:pPr>
        <w:spacing w:after="0" w:line="167" w:lineRule="exact"/>
        <w:rPr>
          <w:sz w:val="20"/>
          <w:szCs w:val="20"/>
          <w:color w:val="auto"/>
        </w:rPr>
      </w:pPr>
    </w:p>
    <w:p>
      <w:pPr>
        <w:jc w:val="both"/>
        <w:ind w:right="20"/>
        <w:spacing w:after="0" w:line="284" w:lineRule="auto"/>
        <w:rPr>
          <w:sz w:val="20"/>
          <w:szCs w:val="20"/>
          <w:color w:val="auto"/>
        </w:rPr>
      </w:pPr>
      <w:r>
        <w:rPr>
          <w:rFonts w:ascii="Arial" w:cs="Arial" w:eastAsia="Arial" w:hAnsi="Arial"/>
          <w:sz w:val="16"/>
          <w:szCs w:val="16"/>
          <w:color w:val="auto"/>
        </w:rPr>
        <w:t>Mr. Salas concluded: “We believe the Bank’s sustained growth trend is very relevant, and remain confident that there is ample room to continue this trend as the Region recovers. We stand cautiously optimistic and are well positioned to make the best of the many opportunities that keep arising.”</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RESULTS BY BUSINESS SEGMENT</w:t>
      </w:r>
    </w:p>
    <w:p>
      <w:pPr>
        <w:spacing w:after="0" w:line="211" w:lineRule="exact"/>
        <w:rPr>
          <w:sz w:val="20"/>
          <w:szCs w:val="20"/>
          <w:color w:val="auto"/>
        </w:rPr>
      </w:pPr>
    </w:p>
    <w:p>
      <w:pPr>
        <w:jc w:val="both"/>
        <w:ind w:right="20"/>
        <w:spacing w:after="0" w:line="269" w:lineRule="auto"/>
        <w:rPr>
          <w:sz w:val="20"/>
          <w:szCs w:val="20"/>
          <w:color w:val="auto"/>
        </w:rPr>
      </w:pPr>
      <w:r>
        <w:rPr>
          <w:rFonts w:ascii="Arial" w:cs="Arial" w:eastAsia="Arial" w:hAnsi="Arial"/>
          <w:sz w:val="16"/>
          <w:szCs w:val="16"/>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5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COMMERCIAL BUSINESS SEGMENT</w:t>
      </w:r>
    </w:p>
    <w:p>
      <w:pPr>
        <w:spacing w:after="0" w:line="211" w:lineRule="exact"/>
        <w:rPr>
          <w:sz w:val="20"/>
          <w:szCs w:val="20"/>
          <w:color w:val="auto"/>
        </w:rPr>
      </w:pPr>
    </w:p>
    <w:p>
      <w:pPr>
        <w:jc w:val="both"/>
        <w:ind w:right="20"/>
        <w:spacing w:after="0" w:line="264" w:lineRule="auto"/>
        <w:rPr>
          <w:sz w:val="20"/>
          <w:szCs w:val="20"/>
          <w:color w:val="auto"/>
        </w:rPr>
      </w:pPr>
      <w:r>
        <w:rPr>
          <w:rFonts w:ascii="Arial" w:cs="Arial" w:eastAsia="Arial" w:hAnsi="Arial"/>
          <w:sz w:val="16"/>
          <w:szCs w:val="16"/>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67" w:lineRule="exact"/>
        <w:rPr>
          <w:sz w:val="20"/>
          <w:szCs w:val="20"/>
          <w:color w:val="auto"/>
        </w:rPr>
      </w:pPr>
    </w:p>
    <w:p>
      <w:pPr>
        <w:jc w:val="both"/>
        <w:ind w:right="20"/>
        <w:spacing w:after="0" w:line="264"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362" w:lineRule="exact"/>
        <w:rPr>
          <w:sz w:val="20"/>
          <w:szCs w:val="20"/>
          <w:color w:val="auto"/>
        </w:rPr>
      </w:pPr>
    </w:p>
    <w:p>
      <w:pPr>
        <w:jc w:val="right"/>
        <w:spacing w:after="0"/>
        <w:rPr>
          <w:sz w:val="20"/>
          <w:szCs w:val="20"/>
          <w:color w:val="auto"/>
        </w:rPr>
      </w:pPr>
      <w:r>
        <w:rPr>
          <w:rFonts w:ascii="Arial" w:cs="Arial" w:eastAsia="Arial" w:hAnsi="Arial"/>
          <w:sz w:val="16"/>
          <w:szCs w:val="16"/>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00"/>
          </w:cols>
          <w:pgMar w:left="320" w:top="1440" w:right="37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35185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02170" cy="35185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both"/>
        <w:ind w:right="20"/>
        <w:spacing w:after="0" w:line="260" w:lineRule="auto"/>
        <w:rPr>
          <w:sz w:val="20"/>
          <w:szCs w:val="20"/>
          <w:color w:val="auto"/>
        </w:rPr>
      </w:pPr>
      <w:r>
        <w:rPr>
          <w:rFonts w:ascii="Arial" w:cs="Arial" w:eastAsia="Arial" w:hAnsi="Arial"/>
          <w:sz w:val="16"/>
          <w:szCs w:val="16"/>
          <w:color w:val="auto"/>
        </w:rPr>
        <w:t>Bladex’s maintained its Commercial Portfolio’s quarterly growth trend since a year ago, propelled by the Region’s recovery, reaching $6.0 billion at the end of 2Q21, a 5% QoQ increase compared to $5.7 billion a quarter ago, and a 22% YoY increase compared to a year ago. Quarterly increases were mainly driven by higher lending origination (+11% QoQ; +205% YoY), with tighter lending spreads at pre-Covid levels due to sustained solid credit quality and ample market liquidity. Meanwhile, during 2Q21 the Bank maintains its collection rate of close to 100% on loan maturities, evidencing the high quality of the Bank’s borrower base and short-term nature of its business. On an average basis, Commercial Portfolio balances reached $6.1 billion for the 2Q21 (+12% QoQ; +16% YoY) and $5.7 billion for the first 6M21 (stable YoY), also evidencing the steady growth during the year.</w:t>
      </w:r>
    </w:p>
    <w:p>
      <w:pPr>
        <w:spacing w:after="0" w:line="171" w:lineRule="exact"/>
        <w:rPr>
          <w:sz w:val="20"/>
          <w:szCs w:val="20"/>
          <w:color w:val="auto"/>
        </w:rPr>
      </w:pPr>
    </w:p>
    <w:p>
      <w:pPr>
        <w:spacing w:after="0"/>
        <w:rPr>
          <w:sz w:val="20"/>
          <w:szCs w:val="20"/>
          <w:color w:val="auto"/>
        </w:rPr>
      </w:pPr>
      <w:r>
        <w:rPr>
          <w:rFonts w:ascii="Arial" w:cs="Arial" w:eastAsia="Arial" w:hAnsi="Arial"/>
          <w:sz w:val="15"/>
          <w:szCs w:val="15"/>
          <w:color w:val="auto"/>
        </w:rPr>
        <w:t>As of June 30, 2021, 78% of the Commercial Portfolio was scheduled to mature within a year, up 1 pp compared from the previous quarter and up 7 pp from a year ago.</w:t>
      </w:r>
    </w:p>
    <w:p>
      <w:pPr>
        <w:spacing w:after="0" w:line="34" w:lineRule="exact"/>
        <w:rPr>
          <w:sz w:val="20"/>
          <w:szCs w:val="20"/>
          <w:color w:val="auto"/>
        </w:rPr>
      </w:pPr>
    </w:p>
    <w:p>
      <w:pPr>
        <w:spacing w:after="0"/>
        <w:rPr>
          <w:sz w:val="20"/>
          <w:szCs w:val="20"/>
          <w:color w:val="auto"/>
        </w:rPr>
      </w:pPr>
      <w:r>
        <w:rPr>
          <w:rFonts w:ascii="Arial" w:cs="Arial" w:eastAsia="Arial" w:hAnsi="Arial"/>
          <w:sz w:val="16"/>
          <w:szCs w:val="16"/>
          <w:color w:val="auto"/>
        </w:rPr>
        <w:t>Trade finance transactions represented 62% of the short-term origination, up 5 pp compared to a quarter ago and up 10 pp compared to a year ago.</w:t>
      </w:r>
    </w:p>
    <w:p>
      <w:pPr>
        <w:spacing w:after="0" w:line="195" w:lineRule="exact"/>
        <w:rPr>
          <w:sz w:val="20"/>
          <w:szCs w:val="20"/>
          <w:color w:val="auto"/>
        </w:rPr>
      </w:pPr>
    </w:p>
    <w:p>
      <w:pPr>
        <w:jc w:val="both"/>
        <w:ind w:right="20"/>
        <w:spacing w:after="0" w:line="284" w:lineRule="auto"/>
        <w:rPr>
          <w:sz w:val="20"/>
          <w:szCs w:val="20"/>
          <w:color w:val="auto"/>
        </w:rPr>
      </w:pPr>
      <w:r>
        <w:rPr>
          <w:rFonts w:ascii="Arial" w:cs="Arial" w:eastAsia="Arial" w:hAnsi="Arial"/>
          <w:sz w:val="16"/>
          <w:szCs w:val="16"/>
          <w:color w:val="auto"/>
        </w:rPr>
        <w:t>The following graphs illustrate the geographic distribution of the Bank’s Commercial Portfolio, highlighting the portfolio´s risk diversification by country and across industry segments, as of June 30,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378460</wp:posOffset>
            </wp:positionH>
            <wp:positionV relativeFrom="paragraph">
              <wp:posOffset>103505</wp:posOffset>
            </wp:positionV>
            <wp:extent cx="6393815" cy="25266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393815" cy="25266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00"/>
          </w:cols>
          <w:pgMar w:left="320" w:top="1440" w:right="37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both"/>
        <w:ind w:right="80"/>
        <w:spacing w:after="0" w:line="304" w:lineRule="auto"/>
        <w:rPr>
          <w:sz w:val="20"/>
          <w:szCs w:val="20"/>
          <w:color w:val="auto"/>
        </w:rPr>
      </w:pPr>
      <w:r>
        <w:rPr>
          <w:rFonts w:ascii="Arial" w:cs="Arial" w:eastAsia="Arial" w:hAnsi="Arial"/>
          <w:sz w:val="14"/>
          <w:szCs w:val="14"/>
          <w:color w:val="auto"/>
        </w:rPr>
        <w:t>Bladex’s credit quality remains sound with a well-diversified exposure across countries. As of June 30, 2021, 43% of the Commercial Portfolio was geographically distributed in investment grade countries, down 14 pp from the previous quarter and 15 pp from a year ago, mostly explained by the Bank´s decision to classify Colombia, the Bank’s second largest country-risk exposure at 12% of the Commercial Portfolio, as non-investment grade following the recent downgrades by two main credit rating agencies, even though Colombia is still rated investment grade by one of the major credit rating agencies. Brazil continues to represent the largest country-risk exposure at 20% of the total Commercial Portfolio, of which 89% was with financial institutions. Other relevant country-risk exposures were to investment grade countries such as Mexico and Chile at 10% and top-rated countries outside of Latin America (which relates to transactions carried out in Latin America) at 9% of the total portfolio.</w:t>
      </w:r>
    </w:p>
    <w:p>
      <w:pPr>
        <w:spacing w:after="0" w:line="143" w:lineRule="exact"/>
        <w:rPr>
          <w:sz w:val="20"/>
          <w:szCs w:val="20"/>
          <w:color w:val="auto"/>
        </w:rPr>
      </w:pPr>
    </w:p>
    <w:p>
      <w:pPr>
        <w:jc w:val="both"/>
        <w:ind w:right="80"/>
        <w:spacing w:after="0" w:line="281" w:lineRule="auto"/>
        <w:rPr>
          <w:sz w:val="20"/>
          <w:szCs w:val="20"/>
          <w:color w:val="auto"/>
        </w:rPr>
      </w:pPr>
      <w:r>
        <w:rPr>
          <w:rFonts w:ascii="Arial" w:cs="Arial" w:eastAsia="Arial" w:hAnsi="Arial"/>
          <w:sz w:val="15"/>
          <w:szCs w:val="15"/>
          <w:color w:val="auto"/>
        </w:rPr>
        <w:t>The Commercial Portfolio by industries also remained well-diversified and focused on high quality borrowers, as exposure to the Bank’s traditional client base of financial institutions represented 49% of the total Commercial Portfolio, and exposure to sovereign and state-owned corporations remained at 18% of the total portfolio at the end of 2Q21. The remainder of the portfolio comprises top tier corporates throughout the Region. Across corporate sectors, most industries represented 5% or less of the total Commercial Portfolio, except for certain sectors that the Bank considers as defensive under the current context supported by higher commodity prices and LatAm trade flows, such as Oil &amp; Gas (Downstream) at 9%, Food and beverage at 7%, Electric power and Metal manufacturing at 6% of the Commercial Portfolio at the end of 2Q21. In addition, high risk sectors, such as sugar and airline industries, remained downsized at 1% and 0.8% of the total portfolio at the end of 2Q21, respectively.</w:t>
      </w:r>
    </w:p>
    <w:p>
      <w:pPr>
        <w:spacing w:after="0" w:line="155" w:lineRule="exact"/>
        <w:rPr>
          <w:sz w:val="20"/>
          <w:szCs w:val="20"/>
          <w:color w:val="auto"/>
        </w:rPr>
      </w:pPr>
    </w:p>
    <w:p>
      <w:pPr>
        <w:jc w:val="both"/>
        <w:ind w:right="100"/>
        <w:spacing w:after="0" w:line="284" w:lineRule="auto"/>
        <w:rPr>
          <w:sz w:val="20"/>
          <w:szCs w:val="20"/>
          <w:color w:val="auto"/>
        </w:rPr>
      </w:pPr>
      <w:r>
        <w:rPr>
          <w:rFonts w:ascii="Arial" w:cs="Arial" w:eastAsia="Arial" w:hAnsi="Arial"/>
          <w:sz w:val="16"/>
          <w:szCs w:val="16"/>
          <w:color w:val="auto"/>
        </w:rPr>
        <w:t>Refer to Exhibit IX for additional information related to the Bank’s Commercial Portfolio distribution by country, and Exhibit XI for the Bank’s distribution of loan disbursements by country.</w:t>
      </w:r>
    </w:p>
    <w:p>
      <w:pPr>
        <w:sectPr>
          <w:pgSz w:w="11900" w:h="16838" w:orient="portrait"/>
          <w:cols w:equalWidth="0" w:num="1">
            <w:col w:w="11260"/>
          </w:cols>
          <w:pgMar w:left="320" w:top="1440" w:right="319" w:bottom="1440" w:gutter="0" w:footer="0" w:header="0"/>
        </w:sectPr>
      </w:pPr>
    </w:p>
    <w:p>
      <w:pPr>
        <w:spacing w:after="0" w:line="147" w:lineRule="exact"/>
        <w:rPr>
          <w:sz w:val="20"/>
          <w:szCs w:val="20"/>
          <w:color w:val="auto"/>
        </w:rPr>
      </w:pPr>
    </w:p>
    <w:p>
      <w:pPr>
        <w:spacing w:after="0"/>
        <w:rPr>
          <w:sz w:val="20"/>
          <w:szCs w:val="20"/>
          <w:color w:val="auto"/>
        </w:rPr>
      </w:pPr>
      <w:r>
        <w:rPr>
          <w:rFonts w:ascii="Arial" w:cs="Arial" w:eastAsia="Arial" w:hAnsi="Arial"/>
          <w:sz w:val="13"/>
          <w:szCs w:val="13"/>
          <w:color w:val="auto"/>
        </w:rPr>
        <w:t>(US$ million)</w:t>
      </w:r>
    </w:p>
    <w:p>
      <w:pPr>
        <w:spacing w:after="0" w:line="4"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Commercial Business Segment:</w:t>
      </w:r>
    </w:p>
    <w:p>
      <w:pPr>
        <w:ind w:left="140"/>
        <w:spacing w:after="0" w:line="215" w:lineRule="auto"/>
        <w:rPr>
          <w:sz w:val="20"/>
          <w:szCs w:val="20"/>
          <w:color w:val="auto"/>
        </w:rPr>
      </w:pPr>
      <w:r>
        <w:rPr>
          <w:rFonts w:ascii="Arial" w:cs="Arial" w:eastAsia="Arial" w:hAnsi="Arial"/>
          <w:sz w:val="13"/>
          <w:szCs w:val="13"/>
          <w:color w:val="auto"/>
        </w:rPr>
        <w:t>Net interest income</w:t>
      </w:r>
    </w:p>
    <w:p>
      <w:pPr>
        <w:ind w:left="140"/>
        <w:spacing w:after="0" w:line="235" w:lineRule="auto"/>
        <w:rPr>
          <w:sz w:val="20"/>
          <w:szCs w:val="20"/>
          <w:color w:val="auto"/>
        </w:rPr>
      </w:pPr>
      <w:r>
        <w:rPr>
          <w:rFonts w:ascii="Arial" w:cs="Arial" w:eastAsia="Arial" w:hAnsi="Arial"/>
          <w:sz w:val="13"/>
          <w:szCs w:val="13"/>
          <w:color w:val="auto"/>
        </w:rPr>
        <w:t>Other income</w:t>
      </w:r>
    </w:p>
    <w:p>
      <w:pPr>
        <w:spacing w:after="0" w:line="235" w:lineRule="auto"/>
        <w:rPr>
          <w:sz w:val="20"/>
          <w:szCs w:val="20"/>
          <w:color w:val="auto"/>
        </w:rPr>
      </w:pPr>
      <w:r>
        <w:rPr>
          <w:rFonts w:ascii="Arial" w:cs="Arial" w:eastAsia="Arial" w:hAnsi="Arial"/>
          <w:sz w:val="13"/>
          <w:szCs w:val="13"/>
          <w:b w:val="1"/>
          <w:bCs w:val="1"/>
          <w:color w:val="auto"/>
        </w:rPr>
        <w:t>Total revenues</w:t>
      </w:r>
    </w:p>
    <w:p>
      <w:pPr>
        <w:ind w:left="140"/>
        <w:spacing w:after="0" w:line="234" w:lineRule="auto"/>
        <w:rPr>
          <w:sz w:val="20"/>
          <w:szCs w:val="20"/>
          <w:color w:val="auto"/>
        </w:rPr>
      </w:pPr>
      <w:r>
        <w:rPr>
          <w:rFonts w:ascii="Arial" w:cs="Arial" w:eastAsia="Arial" w:hAnsi="Arial"/>
          <w:sz w:val="12"/>
          <w:szCs w:val="12"/>
          <w:color w:val="auto"/>
        </w:rPr>
        <w:t>(Provision) reversal for credit losses</w:t>
      </w:r>
    </w:p>
    <w:p>
      <w:pPr>
        <w:ind w:left="140"/>
        <w:spacing w:after="0"/>
        <w:rPr>
          <w:sz w:val="20"/>
          <w:szCs w:val="20"/>
          <w:color w:val="auto"/>
        </w:rPr>
      </w:pPr>
      <w:r>
        <w:rPr>
          <w:rFonts w:ascii="Arial" w:cs="Arial" w:eastAsia="Arial" w:hAnsi="Arial"/>
          <w:sz w:val="11"/>
          <w:szCs w:val="11"/>
          <w:color w:val="auto"/>
        </w:rPr>
        <w:t>Gain (loss) on non-financial assets, net</w:t>
      </w:r>
    </w:p>
    <w:p>
      <w:pPr>
        <w:spacing w:after="0" w:line="5" w:lineRule="exact"/>
        <w:rPr>
          <w:sz w:val="20"/>
          <w:szCs w:val="20"/>
          <w:color w:val="auto"/>
        </w:rPr>
      </w:pPr>
    </w:p>
    <w:p>
      <w:pPr>
        <w:ind w:left="140"/>
        <w:spacing w:after="0"/>
        <w:rPr>
          <w:sz w:val="20"/>
          <w:szCs w:val="20"/>
          <w:color w:val="auto"/>
        </w:rPr>
      </w:pPr>
      <w:r>
        <w:rPr>
          <w:rFonts w:ascii="Arial" w:cs="Arial" w:eastAsia="Arial" w:hAnsi="Arial"/>
          <w:sz w:val="13"/>
          <w:szCs w:val="13"/>
          <w:color w:val="auto"/>
        </w:rPr>
        <w:t>Operating expenses</w:t>
      </w:r>
    </w:p>
    <w:p>
      <w:pPr>
        <w:spacing w:after="0"/>
        <w:rPr>
          <w:sz w:val="20"/>
          <w:szCs w:val="20"/>
          <w:color w:val="auto"/>
        </w:rPr>
      </w:pPr>
      <w:r>
        <w:rPr>
          <w:rFonts w:ascii="Arial" w:cs="Arial" w:eastAsia="Arial" w:hAnsi="Arial"/>
          <w:sz w:val="13"/>
          <w:szCs w:val="13"/>
          <w:b w:val="1"/>
          <w:bCs w:val="1"/>
          <w:color w:val="auto"/>
        </w:rPr>
        <w:t>Profit for the segment</w:t>
      </w:r>
    </w:p>
    <w:p>
      <w:pPr>
        <w:spacing w:after="0" w:line="20" w:lineRule="exact"/>
        <w:rPr>
          <w:sz w:val="20"/>
          <w:szCs w:val="20"/>
          <w:color w:val="auto"/>
        </w:rPr>
      </w:pPr>
      <w:r>
        <w:rPr>
          <w:sz w:val="20"/>
          <w:szCs w:val="20"/>
          <w:color w:val="auto"/>
        </w:rPr>
        <w:br w:type="column"/>
      </w:r>
    </w:p>
    <w:p>
      <w:pPr>
        <w:spacing w:after="0" w:line="12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6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2Q21</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1Q21</w:t>
            </w: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6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2Q20</w:t>
            </w:r>
          </w:p>
        </w:tc>
        <w:tc>
          <w:tcPr>
            <w:tcW w:w="220" w:type="dxa"/>
            <w:vAlign w:val="bottom"/>
          </w:tcPr>
          <w:p>
            <w:pPr>
              <w:spacing w:after="0"/>
              <w:rPr>
                <w:sz w:val="14"/>
                <w:szCs w:val="14"/>
                <w:color w:val="auto"/>
              </w:rPr>
            </w:pPr>
          </w:p>
        </w:tc>
        <w:tc>
          <w:tcPr>
            <w:tcW w:w="560" w:type="dxa"/>
            <w:vAlign w:val="bottom"/>
            <w:tcBorders>
              <w:bottom w:val="single" w:sz="8" w:color="auto"/>
            </w:tcBorders>
          </w:tcPr>
          <w:p>
            <w:pPr>
              <w:ind w:left="20"/>
              <w:spacing w:after="0"/>
              <w:rPr>
                <w:sz w:val="20"/>
                <w:szCs w:val="20"/>
                <w:color w:val="auto"/>
              </w:rPr>
            </w:pPr>
            <w:r>
              <w:rPr>
                <w:rFonts w:ascii="Arial" w:cs="Arial" w:eastAsia="Arial" w:hAnsi="Arial"/>
                <w:sz w:val="13"/>
                <w:szCs w:val="13"/>
                <w:b w:val="1"/>
                <w:bCs w:val="1"/>
                <w:color w:val="auto"/>
                <w:w w:val="99"/>
              </w:rPr>
              <w:t>QoQ (%)</w:t>
            </w:r>
          </w:p>
        </w:tc>
        <w:tc>
          <w:tcPr>
            <w:tcW w:w="240" w:type="dxa"/>
            <w:vAlign w:val="bottom"/>
          </w:tcPr>
          <w:p>
            <w:pPr>
              <w:spacing w:after="0"/>
              <w:rPr>
                <w:sz w:val="14"/>
                <w:szCs w:val="14"/>
                <w:color w:val="auto"/>
              </w:rPr>
            </w:pPr>
          </w:p>
        </w:tc>
        <w:tc>
          <w:tcPr>
            <w:tcW w:w="560" w:type="dxa"/>
            <w:vAlign w:val="bottom"/>
            <w:tcBorders>
              <w:bottom w:val="single" w:sz="8" w:color="auto"/>
            </w:tcBorders>
          </w:tcPr>
          <w:p>
            <w:pPr>
              <w:ind w:left="40"/>
              <w:spacing w:after="0"/>
              <w:rPr>
                <w:sz w:val="20"/>
                <w:szCs w:val="20"/>
                <w:color w:val="auto"/>
              </w:rPr>
            </w:pPr>
            <w:r>
              <w:rPr>
                <w:rFonts w:ascii="Arial" w:cs="Arial" w:eastAsia="Arial" w:hAnsi="Arial"/>
                <w:sz w:val="13"/>
                <w:szCs w:val="13"/>
                <w:b w:val="1"/>
                <w:bCs w:val="1"/>
                <w:color w:val="auto"/>
              </w:rPr>
              <w:t>YoY (%)</w:t>
            </w: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3"/>
                <w:szCs w:val="13"/>
                <w:b w:val="1"/>
                <w:bCs w:val="1"/>
                <w:color w:val="auto"/>
              </w:rPr>
              <w:t>6M21</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Borders>
              <w:bottom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6M20</w:t>
            </w:r>
          </w:p>
        </w:tc>
        <w:tc>
          <w:tcPr>
            <w:tcW w:w="220" w:type="dxa"/>
            <w:vAlign w:val="bottom"/>
          </w:tcPr>
          <w:p>
            <w:pPr>
              <w:spacing w:after="0"/>
              <w:rPr>
                <w:sz w:val="14"/>
                <w:szCs w:val="14"/>
                <w:color w:val="auto"/>
              </w:rPr>
            </w:pPr>
          </w:p>
        </w:tc>
        <w:tc>
          <w:tcPr>
            <w:tcW w:w="560" w:type="dxa"/>
            <w:vAlign w:val="bottom"/>
            <w:tcBorders>
              <w:bottom w:val="single" w:sz="8" w:color="auto"/>
            </w:tcBorders>
          </w:tcPr>
          <w:p>
            <w:pPr>
              <w:ind w:left="40"/>
              <w:spacing w:after="0"/>
              <w:rPr>
                <w:sz w:val="20"/>
                <w:szCs w:val="20"/>
                <w:color w:val="auto"/>
              </w:rPr>
            </w:pPr>
            <w:r>
              <w:rPr>
                <w:rFonts w:ascii="Arial" w:cs="Arial" w:eastAsia="Arial" w:hAnsi="Arial"/>
                <w:sz w:val="13"/>
                <w:szCs w:val="13"/>
                <w:b w:val="1"/>
                <w:bCs w:val="1"/>
                <w:color w:val="auto"/>
              </w:rPr>
              <w:t>YoY (%)</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45"/>
        </w:trPr>
        <w:tc>
          <w:tcPr>
            <w:tcW w:w="120" w:type="dxa"/>
            <w:vAlign w:val="bottom"/>
            <w:gridSpan w:val="2"/>
          </w:tcPr>
          <w:p>
            <w:pPr>
              <w:jc w:val="right"/>
              <w:spacing w:after="0"/>
              <w:rPr>
                <w:sz w:val="20"/>
                <w:szCs w:val="20"/>
                <w:color w:val="auto"/>
              </w:rPr>
            </w:pPr>
            <w:r>
              <w:rPr>
                <w:rFonts w:ascii="Arial" w:cs="Arial" w:eastAsia="Arial" w:hAnsi="Arial"/>
                <w:sz w:val="13"/>
                <w:szCs w:val="13"/>
                <w:color w:val="auto"/>
                <w:w w:val="82"/>
              </w:rPr>
              <w:t>$</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20.5</w:t>
            </w:r>
          </w:p>
        </w:tc>
        <w:tc>
          <w:tcPr>
            <w:tcW w:w="12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18.7</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20.9</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9%</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w:t>
            </w:r>
          </w:p>
        </w:tc>
        <w:tc>
          <w:tcPr>
            <w:tcW w:w="200" w:type="dxa"/>
            <w:vAlign w:val="bottom"/>
            <w:gridSpan w:val="2"/>
          </w:tcPr>
          <w:p>
            <w:pPr>
              <w:jc w:val="right"/>
              <w:ind w:right="31"/>
              <w:spacing w:after="0"/>
              <w:rPr>
                <w:sz w:val="20"/>
                <w:szCs w:val="20"/>
                <w:color w:val="auto"/>
              </w:rPr>
            </w:pPr>
            <w:r>
              <w:rPr>
                <w:rFonts w:ascii="Arial" w:cs="Arial" w:eastAsia="Arial" w:hAnsi="Arial"/>
                <w:sz w:val="13"/>
                <w:szCs w:val="13"/>
                <w:color w:val="auto"/>
              </w:rPr>
              <w:t>$</w:t>
            </w: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39.2</w:t>
            </w:r>
          </w:p>
        </w:tc>
        <w:tc>
          <w:tcPr>
            <w:tcW w:w="100" w:type="dxa"/>
            <w:vAlign w:val="bottom"/>
          </w:tcPr>
          <w:p>
            <w:pPr>
              <w:spacing w:after="0"/>
              <w:rPr>
                <w:sz w:val="21"/>
                <w:szCs w:val="21"/>
                <w:color w:val="auto"/>
              </w:rPr>
            </w:pPr>
          </w:p>
        </w:tc>
        <w:tc>
          <w:tcPr>
            <w:tcW w:w="120" w:type="dxa"/>
            <w:vAlign w:val="bottom"/>
          </w:tcPr>
          <w:p>
            <w:pPr>
              <w:jc w:val="right"/>
              <w:ind w:right="11"/>
              <w:spacing w:after="0"/>
              <w:rPr>
                <w:sz w:val="20"/>
                <w:szCs w:val="20"/>
                <w:color w:val="auto"/>
              </w:rPr>
            </w:pPr>
            <w:r>
              <w:rPr>
                <w:rFonts w:ascii="Arial" w:cs="Arial" w:eastAsia="Arial" w:hAnsi="Arial"/>
                <w:sz w:val="10"/>
                <w:szCs w:val="10"/>
                <w:color w:val="auto"/>
                <w:w w:val="71"/>
              </w:rPr>
              <w:t>$</w:t>
            </w:r>
          </w:p>
        </w:tc>
        <w:tc>
          <w:tcPr>
            <w:tcW w:w="560" w:type="dxa"/>
            <w:vAlign w:val="bottom"/>
          </w:tcPr>
          <w:p>
            <w:pPr>
              <w:jc w:val="right"/>
              <w:spacing w:after="0"/>
              <w:rPr>
                <w:sz w:val="20"/>
                <w:szCs w:val="20"/>
                <w:color w:val="auto"/>
              </w:rPr>
            </w:pPr>
            <w:r>
              <w:rPr>
                <w:rFonts w:ascii="Arial" w:cs="Arial" w:eastAsia="Arial" w:hAnsi="Arial"/>
                <w:sz w:val="13"/>
                <w:szCs w:val="13"/>
                <w:color w:val="auto"/>
              </w:rPr>
              <w:t>45.7</w:t>
            </w:r>
          </w:p>
        </w:tc>
        <w:tc>
          <w:tcPr>
            <w:tcW w:w="220" w:type="dxa"/>
            <w:vAlign w:val="bottom"/>
          </w:tcPr>
          <w:p>
            <w:pPr>
              <w:spacing w:after="0"/>
              <w:rPr>
                <w:sz w:val="21"/>
                <w:szCs w:val="21"/>
                <w:color w:val="auto"/>
              </w:rPr>
            </w:pP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4.5</w:t>
            </w:r>
          </w:p>
        </w:tc>
        <w:tc>
          <w:tcPr>
            <w:tcW w:w="120" w:type="dxa"/>
            <w:vAlign w:val="bottom"/>
          </w:tcPr>
          <w:p>
            <w:pPr>
              <w:spacing w:after="0"/>
              <w:rPr>
                <w:sz w:val="14"/>
                <w:szCs w:val="14"/>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3.3</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3"/>
                <w:szCs w:val="13"/>
                <w:color w:val="auto"/>
              </w:rPr>
              <w:t>(0.8)</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38%</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667%</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7.7</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2.6</w:t>
            </w:r>
          </w:p>
        </w:tc>
        <w:tc>
          <w:tcPr>
            <w:tcW w:w="220" w:type="dxa"/>
            <w:vAlign w:val="bottom"/>
          </w:tcPr>
          <w:p>
            <w:pPr>
              <w:spacing w:after="0"/>
              <w:rPr>
                <w:sz w:val="14"/>
                <w:szCs w:val="14"/>
                <w:color w:val="auto"/>
              </w:rPr>
            </w:pP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202%</w:t>
            </w: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jc w:val="right"/>
              <w:spacing w:after="0" w:line="110" w:lineRule="exact"/>
              <w:rPr>
                <w:sz w:val="20"/>
                <w:szCs w:val="20"/>
                <w:color w:val="auto"/>
              </w:rPr>
            </w:pPr>
            <w:r>
              <w:rPr>
                <w:rFonts w:ascii="Arial" w:cs="Arial" w:eastAsia="Arial" w:hAnsi="Arial"/>
                <w:sz w:val="12"/>
                <w:szCs w:val="12"/>
                <w:b w:val="1"/>
                <w:bCs w:val="1"/>
                <w:color w:val="auto"/>
              </w:rPr>
              <w:t>25.0</w:t>
            </w:r>
          </w:p>
        </w:tc>
        <w:tc>
          <w:tcPr>
            <w:tcW w:w="10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jc w:val="right"/>
              <w:spacing w:after="0" w:line="110" w:lineRule="exact"/>
              <w:rPr>
                <w:sz w:val="20"/>
                <w:szCs w:val="20"/>
                <w:color w:val="auto"/>
              </w:rPr>
            </w:pPr>
            <w:r>
              <w:rPr>
                <w:rFonts w:ascii="Arial" w:cs="Arial" w:eastAsia="Arial" w:hAnsi="Arial"/>
                <w:sz w:val="12"/>
                <w:szCs w:val="12"/>
                <w:b w:val="1"/>
                <w:bCs w:val="1"/>
                <w:color w:val="auto"/>
              </w:rPr>
              <w:t>22.0</w:t>
            </w:r>
          </w:p>
        </w:tc>
        <w:tc>
          <w:tcPr>
            <w:tcW w:w="8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jc w:val="right"/>
              <w:spacing w:after="0" w:line="110" w:lineRule="exact"/>
              <w:rPr>
                <w:sz w:val="20"/>
                <w:szCs w:val="20"/>
                <w:color w:val="auto"/>
              </w:rPr>
            </w:pPr>
            <w:r>
              <w:rPr>
                <w:rFonts w:ascii="Arial" w:cs="Arial" w:eastAsia="Arial" w:hAnsi="Arial"/>
                <w:sz w:val="12"/>
                <w:szCs w:val="12"/>
                <w:b w:val="1"/>
                <w:bCs w:val="1"/>
                <w:color w:val="auto"/>
              </w:rPr>
              <w:t>20.1</w:t>
            </w:r>
          </w:p>
        </w:tc>
        <w:tc>
          <w:tcPr>
            <w:tcW w:w="220" w:type="dxa"/>
            <w:vAlign w:val="bottom"/>
          </w:tcPr>
          <w:p>
            <w:pPr>
              <w:spacing w:after="0"/>
              <w:rPr>
                <w:sz w:val="9"/>
                <w:szCs w:val="9"/>
                <w:color w:val="auto"/>
              </w:rPr>
            </w:pPr>
          </w:p>
        </w:tc>
        <w:tc>
          <w:tcPr>
            <w:tcW w:w="800" w:type="dxa"/>
            <w:vAlign w:val="bottom"/>
            <w:gridSpan w:val="2"/>
          </w:tcPr>
          <w:p>
            <w:pPr>
              <w:jc w:val="right"/>
              <w:ind w:right="100"/>
              <w:spacing w:after="0" w:line="110" w:lineRule="exact"/>
              <w:rPr>
                <w:sz w:val="20"/>
                <w:szCs w:val="20"/>
                <w:color w:val="auto"/>
              </w:rPr>
            </w:pPr>
            <w:r>
              <w:rPr>
                <w:rFonts w:ascii="Arial" w:cs="Arial" w:eastAsia="Arial" w:hAnsi="Arial"/>
                <w:sz w:val="12"/>
                <w:szCs w:val="12"/>
                <w:b w:val="1"/>
                <w:bCs w:val="1"/>
                <w:color w:val="auto"/>
              </w:rPr>
              <w:t>14%</w:t>
            </w:r>
          </w:p>
        </w:tc>
        <w:tc>
          <w:tcPr>
            <w:tcW w:w="760" w:type="dxa"/>
            <w:vAlign w:val="bottom"/>
            <w:gridSpan w:val="2"/>
          </w:tcPr>
          <w:p>
            <w:pPr>
              <w:jc w:val="right"/>
              <w:ind w:right="60"/>
              <w:spacing w:after="0" w:line="110" w:lineRule="exact"/>
              <w:rPr>
                <w:sz w:val="20"/>
                <w:szCs w:val="20"/>
                <w:color w:val="auto"/>
              </w:rPr>
            </w:pPr>
            <w:r>
              <w:rPr>
                <w:rFonts w:ascii="Arial" w:cs="Arial" w:eastAsia="Arial" w:hAnsi="Arial"/>
                <w:sz w:val="12"/>
                <w:szCs w:val="12"/>
                <w:b w:val="1"/>
                <w:bCs w:val="1"/>
                <w:color w:val="auto"/>
              </w:rPr>
              <w:t>24%</w:t>
            </w:r>
          </w:p>
        </w:tc>
        <w:tc>
          <w:tcPr>
            <w:tcW w:w="6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jc w:val="right"/>
              <w:spacing w:after="0" w:line="110" w:lineRule="exact"/>
              <w:rPr>
                <w:sz w:val="20"/>
                <w:szCs w:val="20"/>
                <w:color w:val="auto"/>
              </w:rPr>
            </w:pPr>
            <w:r>
              <w:rPr>
                <w:rFonts w:ascii="Arial" w:cs="Arial" w:eastAsia="Arial" w:hAnsi="Arial"/>
                <w:sz w:val="12"/>
                <w:szCs w:val="12"/>
                <w:b w:val="1"/>
                <w:bCs w:val="1"/>
                <w:color w:val="auto"/>
              </w:rPr>
              <w:t>46.9</w:t>
            </w: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jc w:val="right"/>
              <w:spacing w:after="0" w:line="110" w:lineRule="exact"/>
              <w:rPr>
                <w:sz w:val="20"/>
                <w:szCs w:val="20"/>
                <w:color w:val="auto"/>
              </w:rPr>
            </w:pPr>
            <w:r>
              <w:rPr>
                <w:rFonts w:ascii="Arial" w:cs="Arial" w:eastAsia="Arial" w:hAnsi="Arial"/>
                <w:sz w:val="12"/>
                <w:szCs w:val="12"/>
                <w:b w:val="1"/>
                <w:bCs w:val="1"/>
                <w:color w:val="auto"/>
              </w:rPr>
              <w:t>48.2</w:t>
            </w:r>
          </w:p>
        </w:tc>
        <w:tc>
          <w:tcPr>
            <w:tcW w:w="220" w:type="dxa"/>
            <w:vAlign w:val="bottom"/>
          </w:tcPr>
          <w:p>
            <w:pPr>
              <w:spacing w:after="0"/>
              <w:rPr>
                <w:sz w:val="9"/>
                <w:szCs w:val="9"/>
                <w:color w:val="auto"/>
              </w:rPr>
            </w:pPr>
          </w:p>
        </w:tc>
        <w:tc>
          <w:tcPr>
            <w:tcW w:w="680" w:type="dxa"/>
            <w:vAlign w:val="bottom"/>
            <w:gridSpan w:val="2"/>
          </w:tcPr>
          <w:p>
            <w:pPr>
              <w:jc w:val="right"/>
              <w:spacing w:after="0" w:line="110" w:lineRule="exact"/>
              <w:rPr>
                <w:sz w:val="20"/>
                <w:szCs w:val="20"/>
                <w:color w:val="auto"/>
              </w:rPr>
            </w:pPr>
            <w:r>
              <w:rPr>
                <w:rFonts w:ascii="Arial" w:cs="Arial" w:eastAsia="Arial" w:hAnsi="Arial"/>
                <w:sz w:val="12"/>
                <w:szCs w:val="12"/>
                <w:b w:val="1"/>
                <w:bCs w:val="1"/>
                <w:color w:val="auto"/>
              </w:rPr>
              <w:t>-3%</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0.0</w:t>
            </w: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2.6</w:t>
            </w:r>
          </w:p>
        </w:tc>
        <w:tc>
          <w:tcPr>
            <w:tcW w:w="800" w:type="dxa"/>
            <w:vAlign w:val="bottom"/>
            <w:gridSpan w:val="2"/>
          </w:tcPr>
          <w:p>
            <w:pPr>
              <w:jc w:val="right"/>
              <w:ind w:right="240"/>
              <w:spacing w:after="0" w:line="134" w:lineRule="exact"/>
              <w:rPr>
                <w:sz w:val="20"/>
                <w:szCs w:val="20"/>
                <w:color w:val="auto"/>
              </w:rPr>
            </w:pPr>
            <w:r>
              <w:rPr>
                <w:rFonts w:ascii="Arial" w:cs="Arial" w:eastAsia="Arial" w:hAnsi="Arial"/>
                <w:sz w:val="13"/>
                <w:szCs w:val="13"/>
                <w:color w:val="auto"/>
              </w:rPr>
              <w:t>n.m.</w:t>
            </w:r>
          </w:p>
        </w:tc>
        <w:tc>
          <w:tcPr>
            <w:tcW w:w="76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-140%</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(1.0)</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Arial" w:cs="Arial" w:eastAsia="Arial" w:hAnsi="Arial"/>
                <w:sz w:val="13"/>
                <w:szCs w:val="13"/>
                <w:color w:val="auto"/>
              </w:rPr>
              <w:t>2.7</w:t>
            </w:r>
          </w:p>
        </w:tc>
        <w:tc>
          <w:tcPr>
            <w:tcW w:w="22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3"/>
                <w:szCs w:val="13"/>
                <w:color w:val="auto"/>
              </w:rPr>
              <w:t>-137%</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gridSpan w:val="2"/>
          </w:tcPr>
          <w:p>
            <w:pPr>
              <w:jc w:val="right"/>
              <w:ind w:right="100"/>
              <w:spacing w:after="0" w:line="134"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0.0</w:t>
            </w: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(0.1)</w:t>
            </w:r>
          </w:p>
        </w:tc>
        <w:tc>
          <w:tcPr>
            <w:tcW w:w="800" w:type="dxa"/>
            <w:vAlign w:val="bottom"/>
            <w:gridSpan w:val="2"/>
          </w:tcPr>
          <w:p>
            <w:pPr>
              <w:jc w:val="right"/>
              <w:ind w:right="240"/>
              <w:spacing w:after="0" w:line="134" w:lineRule="exact"/>
              <w:rPr>
                <w:sz w:val="20"/>
                <w:szCs w:val="20"/>
                <w:color w:val="auto"/>
              </w:rPr>
            </w:pPr>
            <w:r>
              <w:rPr>
                <w:rFonts w:ascii="Arial" w:cs="Arial" w:eastAsia="Arial" w:hAnsi="Arial"/>
                <w:sz w:val="13"/>
                <w:szCs w:val="13"/>
                <w:color w:val="auto"/>
              </w:rPr>
              <w:t>n.m.</w:t>
            </w:r>
          </w:p>
        </w:tc>
        <w:tc>
          <w:tcPr>
            <w:tcW w:w="76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100%</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(0.1)</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gridSpan w:val="2"/>
          </w:tcPr>
          <w:p>
            <w:pPr>
              <w:jc w:val="right"/>
              <w:ind w:right="60"/>
              <w:spacing w:after="0" w:line="143" w:lineRule="exact"/>
              <w:rPr>
                <w:sz w:val="20"/>
                <w:szCs w:val="20"/>
                <w:color w:val="auto"/>
              </w:rPr>
            </w:pPr>
            <w:r>
              <w:rPr>
                <w:rFonts w:ascii="Arial" w:cs="Arial" w:eastAsia="Arial" w:hAnsi="Arial"/>
                <w:sz w:val="13"/>
                <w:szCs w:val="13"/>
                <w:color w:val="auto"/>
              </w:rPr>
              <w:t>(7.9)</w:t>
            </w:r>
          </w:p>
        </w:tc>
        <w:tc>
          <w:tcPr>
            <w:tcW w:w="120" w:type="dxa"/>
            <w:vAlign w:val="bottom"/>
          </w:tcPr>
          <w:p>
            <w:pPr>
              <w:spacing w:after="0"/>
              <w:rPr>
                <w:sz w:val="12"/>
                <w:szCs w:val="12"/>
                <w:color w:val="auto"/>
              </w:rPr>
            </w:pPr>
          </w:p>
        </w:tc>
        <w:tc>
          <w:tcPr>
            <w:tcW w:w="640" w:type="dxa"/>
            <w:vAlign w:val="bottom"/>
            <w:gridSpan w:val="2"/>
          </w:tcPr>
          <w:p>
            <w:pPr>
              <w:jc w:val="right"/>
              <w:ind w:right="40"/>
              <w:spacing w:after="0" w:line="143" w:lineRule="exact"/>
              <w:rPr>
                <w:sz w:val="20"/>
                <w:szCs w:val="20"/>
                <w:color w:val="auto"/>
              </w:rPr>
            </w:pPr>
            <w:r>
              <w:rPr>
                <w:rFonts w:ascii="Arial" w:cs="Arial" w:eastAsia="Arial" w:hAnsi="Arial"/>
                <w:sz w:val="13"/>
                <w:szCs w:val="13"/>
                <w:color w:val="auto"/>
              </w:rPr>
              <w:t>(7.1)</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80"/>
              <w:spacing w:after="0" w:line="143" w:lineRule="exact"/>
              <w:rPr>
                <w:sz w:val="20"/>
                <w:szCs w:val="20"/>
                <w:color w:val="auto"/>
              </w:rPr>
            </w:pPr>
            <w:r>
              <w:rPr>
                <w:rFonts w:ascii="Arial" w:cs="Arial" w:eastAsia="Arial" w:hAnsi="Arial"/>
                <w:sz w:val="13"/>
                <w:szCs w:val="13"/>
                <w:color w:val="auto"/>
              </w:rPr>
              <w:t>(6.3)</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3"/>
                <w:szCs w:val="13"/>
                <w:color w:val="auto"/>
              </w:rPr>
              <w:t>-10%</w:t>
            </w:r>
          </w:p>
        </w:tc>
        <w:tc>
          <w:tcPr>
            <w:tcW w:w="760" w:type="dxa"/>
            <w:vAlign w:val="bottom"/>
            <w:gridSpan w:val="2"/>
          </w:tcPr>
          <w:p>
            <w:pPr>
              <w:jc w:val="right"/>
              <w:ind w:right="80"/>
              <w:spacing w:after="0" w:line="143" w:lineRule="exact"/>
              <w:rPr>
                <w:sz w:val="20"/>
                <w:szCs w:val="20"/>
                <w:color w:val="auto"/>
              </w:rPr>
            </w:pPr>
            <w:r>
              <w:rPr>
                <w:rFonts w:ascii="Arial" w:cs="Arial" w:eastAsia="Arial" w:hAnsi="Arial"/>
                <w:sz w:val="13"/>
                <w:szCs w:val="13"/>
                <w:color w:val="auto"/>
              </w:rPr>
              <w:t>-26%</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80"/>
              <w:spacing w:after="0" w:line="143" w:lineRule="exact"/>
              <w:rPr>
                <w:sz w:val="20"/>
                <w:szCs w:val="20"/>
                <w:color w:val="auto"/>
              </w:rPr>
            </w:pPr>
            <w:r>
              <w:rPr>
                <w:rFonts w:ascii="Arial" w:cs="Arial" w:eastAsia="Arial" w:hAnsi="Arial"/>
                <w:sz w:val="13"/>
                <w:szCs w:val="13"/>
                <w:color w:val="auto"/>
              </w:rPr>
              <w:t>(15.0)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80"/>
              <w:spacing w:after="0" w:line="143" w:lineRule="exact"/>
              <w:rPr>
                <w:sz w:val="20"/>
                <w:szCs w:val="20"/>
                <w:color w:val="auto"/>
              </w:rPr>
            </w:pPr>
            <w:r>
              <w:rPr>
                <w:rFonts w:ascii="Arial" w:cs="Arial" w:eastAsia="Arial" w:hAnsi="Arial"/>
                <w:sz w:val="13"/>
                <w:szCs w:val="13"/>
                <w:color w:val="auto"/>
              </w:rPr>
              <w:t>(13.6)</w:t>
            </w:r>
          </w:p>
        </w:tc>
        <w:tc>
          <w:tcPr>
            <w:tcW w:w="680" w:type="dxa"/>
            <w:vAlign w:val="bottom"/>
            <w:gridSpan w:val="2"/>
          </w:tcPr>
          <w:p>
            <w:pPr>
              <w:jc w:val="right"/>
              <w:ind w:right="20"/>
              <w:spacing w:after="0" w:line="143" w:lineRule="exact"/>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20"/>
        </w:trPr>
        <w:tc>
          <w:tcPr>
            <w:tcW w:w="120" w:type="dxa"/>
            <w:vAlign w:val="bottom"/>
            <w:gridSpan w:val="2"/>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40" w:type="dxa"/>
            <w:vAlign w:val="bottom"/>
            <w:gridSpan w:val="2"/>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800" w:type="dxa"/>
            <w:vAlign w:val="bottom"/>
            <w:gridSpan w:val="2"/>
            <w:vMerge w:val="restart"/>
          </w:tcPr>
          <w:p>
            <w:pPr>
              <w:jc w:val="right"/>
              <w:ind w:right="100"/>
              <w:spacing w:after="0" w:line="179" w:lineRule="exact"/>
              <w:rPr>
                <w:sz w:val="20"/>
                <w:szCs w:val="20"/>
                <w:color w:val="auto"/>
              </w:rPr>
            </w:pPr>
            <w:r>
              <w:rPr>
                <w:rFonts w:ascii="Arial" w:cs="Arial" w:eastAsia="Arial" w:hAnsi="Arial"/>
                <w:sz w:val="11"/>
                <w:szCs w:val="11"/>
                <w:b w:val="1"/>
                <w:bCs w:val="1"/>
                <w:color w:val="auto"/>
              </w:rPr>
              <w:t>8</w:t>
            </w:r>
            <w:r>
              <w:rPr>
                <w:rFonts w:ascii="Arial" w:cs="Arial" w:eastAsia="Arial" w:hAnsi="Arial"/>
                <w:sz w:val="20"/>
                <w:szCs w:val="20"/>
                <w:b w:val="1"/>
                <w:bCs w:val="1"/>
                <w:color w:val="auto"/>
                <w:vertAlign w:val="superscript"/>
              </w:rPr>
              <w:t>%</w:t>
            </w:r>
          </w:p>
        </w:tc>
        <w:tc>
          <w:tcPr>
            <w:tcW w:w="760" w:type="dxa"/>
            <w:vAlign w:val="bottom"/>
            <w:gridSpan w:val="2"/>
            <w:vMerge w:val="restart"/>
          </w:tcPr>
          <w:p>
            <w:pPr>
              <w:jc w:val="right"/>
              <w:ind w:right="60"/>
              <w:spacing w:after="0" w:line="179" w:lineRule="exact"/>
              <w:rPr>
                <w:sz w:val="20"/>
                <w:szCs w:val="20"/>
                <w:color w:val="auto"/>
              </w:rPr>
            </w:pPr>
            <w:r>
              <w:rPr>
                <w:rFonts w:ascii="Arial" w:cs="Arial" w:eastAsia="Arial" w:hAnsi="Arial"/>
                <w:sz w:val="11"/>
                <w:szCs w:val="11"/>
                <w:b w:val="1"/>
                <w:bCs w:val="1"/>
                <w:color w:val="auto"/>
              </w:rPr>
              <w:t>-2</w:t>
            </w:r>
            <w:r>
              <w:rPr>
                <w:rFonts w:ascii="Arial" w:cs="Arial" w:eastAsia="Arial" w:hAnsi="Arial"/>
                <w:sz w:val="20"/>
                <w:szCs w:val="20"/>
                <w:b w:val="1"/>
                <w:bCs w:val="1"/>
                <w:color w:val="auto"/>
                <w:vertAlign w:val="superscript"/>
              </w:rPr>
              <w:t>%</w:t>
            </w:r>
          </w:p>
        </w:tc>
        <w:tc>
          <w:tcPr>
            <w:tcW w:w="200" w:type="dxa"/>
            <w:vAlign w:val="bottom"/>
            <w:gridSpan w:val="2"/>
          </w:tcPr>
          <w:p>
            <w:pPr>
              <w:spacing w:after="0" w:line="20" w:lineRule="exact"/>
              <w:rPr>
                <w:sz w:val="1"/>
                <w:szCs w:val="1"/>
                <w:color w:val="auto"/>
              </w:rPr>
            </w:pPr>
          </w:p>
        </w:tc>
        <w:tc>
          <w:tcPr>
            <w:tcW w:w="6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gridSpan w:val="2"/>
            <w:vMerge w:val="restart"/>
          </w:tcPr>
          <w:p>
            <w:pPr>
              <w:jc w:val="right"/>
              <w:spacing w:after="0" w:line="179" w:lineRule="exact"/>
              <w:rPr>
                <w:sz w:val="20"/>
                <w:szCs w:val="20"/>
                <w:color w:val="auto"/>
              </w:rPr>
            </w:pPr>
            <w:r>
              <w:rPr>
                <w:rFonts w:ascii="Arial" w:cs="Arial" w:eastAsia="Arial" w:hAnsi="Arial"/>
                <w:sz w:val="11"/>
                <w:szCs w:val="11"/>
                <w:b w:val="1"/>
                <w:bCs w:val="1"/>
                <w:color w:val="auto"/>
              </w:rPr>
              <w:t>-17</w:t>
            </w:r>
            <w:r>
              <w:rPr>
                <w:rFonts w:ascii="Arial" w:cs="Arial" w:eastAsia="Arial" w:hAnsi="Arial"/>
                <w:sz w:val="20"/>
                <w:szCs w:val="20"/>
                <w:b w:val="1"/>
                <w:bCs w:val="1"/>
                <w:color w:val="auto"/>
                <w:vertAlign w:val="superscript"/>
              </w:rPr>
              <w:t>%</w:t>
            </w:r>
          </w:p>
        </w:tc>
        <w:tc>
          <w:tcPr>
            <w:tcW w:w="0" w:type="dxa"/>
            <w:vAlign w:val="bottom"/>
          </w:tcPr>
          <w:p>
            <w:pPr>
              <w:spacing w:after="0"/>
              <w:rPr>
                <w:sz w:val="1"/>
                <w:szCs w:val="1"/>
                <w:color w:val="auto"/>
              </w:rPr>
            </w:pPr>
          </w:p>
        </w:tc>
      </w:tr>
      <w:tr>
        <w:trPr>
          <w:trHeight w:val="139"/>
        </w:trPr>
        <w:tc>
          <w:tcPr>
            <w:tcW w:w="20" w:type="dxa"/>
            <w:vAlign w:val="bottom"/>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16.0</w:t>
            </w:r>
          </w:p>
        </w:tc>
        <w:tc>
          <w:tcPr>
            <w:tcW w:w="100" w:type="dxa"/>
            <w:vAlign w:val="bottom"/>
          </w:tcPr>
          <w:p>
            <w:pPr>
              <w:spacing w:after="0"/>
              <w:rPr>
                <w:sz w:val="12"/>
                <w:szCs w:val="12"/>
                <w:color w:val="auto"/>
              </w:rPr>
            </w:pPr>
          </w:p>
        </w:tc>
        <w:tc>
          <w:tcPr>
            <w:tcW w:w="12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14.9</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16.3</w:t>
            </w:r>
          </w:p>
        </w:tc>
        <w:tc>
          <w:tcPr>
            <w:tcW w:w="220" w:type="dxa"/>
            <w:vAlign w:val="bottom"/>
          </w:tcPr>
          <w:p>
            <w:pPr>
              <w:spacing w:after="0"/>
              <w:rPr>
                <w:sz w:val="12"/>
                <w:szCs w:val="12"/>
                <w:color w:val="auto"/>
              </w:rPr>
            </w:pPr>
          </w:p>
        </w:tc>
        <w:tc>
          <w:tcPr>
            <w:tcW w:w="800" w:type="dxa"/>
            <w:vAlign w:val="bottom"/>
            <w:gridSpan w:val="2"/>
            <w:vMerge w:val="continue"/>
          </w:tcPr>
          <w:p>
            <w:pPr>
              <w:spacing w:after="0"/>
              <w:rPr>
                <w:sz w:val="12"/>
                <w:szCs w:val="12"/>
                <w:color w:val="auto"/>
              </w:rPr>
            </w:pPr>
          </w:p>
        </w:tc>
        <w:tc>
          <w:tcPr>
            <w:tcW w:w="760" w:type="dxa"/>
            <w:vAlign w:val="bottom"/>
            <w:gridSpan w:val="2"/>
            <w:vMerge w:val="continue"/>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ind w:right="31"/>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30.9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bottom w:val="single" w:sz="8" w:color="auto"/>
            </w:tcBorders>
          </w:tcPr>
          <w:p>
            <w:pPr>
              <w:jc w:val="right"/>
              <w:ind w:right="11"/>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37.2</w:t>
            </w:r>
          </w:p>
        </w:tc>
        <w:tc>
          <w:tcPr>
            <w:tcW w:w="220" w:type="dxa"/>
            <w:vAlign w:val="bottom"/>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-2985135</wp:posOffset>
            </wp:positionH>
            <wp:positionV relativeFrom="paragraph">
              <wp:posOffset>-572770</wp:posOffset>
            </wp:positionV>
            <wp:extent cx="7145655" cy="927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45655" cy="92710"/>
                    </a:xfrm>
                    <a:prstGeom prst="rect">
                      <a:avLst/>
                    </a:prstGeom>
                    <a:noFill/>
                  </pic:spPr>
                </pic:pic>
              </a:graphicData>
            </a:graphic>
          </wp:anchor>
        </w:drawing>
        <w:drawing>
          <wp:anchor simplePos="0" relativeHeight="251657728" behindDoc="1" locked="0" layoutInCell="0" allowOverlap="1">
            <wp:simplePos x="0" y="0"/>
            <wp:positionH relativeFrom="column">
              <wp:posOffset>-2985135</wp:posOffset>
            </wp:positionH>
            <wp:positionV relativeFrom="paragraph">
              <wp:posOffset>-386715</wp:posOffset>
            </wp:positionV>
            <wp:extent cx="7145655" cy="850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45655" cy="85090"/>
                    </a:xfrm>
                    <a:prstGeom prst="rect">
                      <a:avLst/>
                    </a:prstGeom>
                    <a:noFill/>
                  </pic:spPr>
                </pic:pic>
              </a:graphicData>
            </a:graphic>
          </wp:anchor>
        </w:drawing>
        <w:drawing>
          <wp:anchor simplePos="0" relativeHeight="251657728" behindDoc="1" locked="0" layoutInCell="0" allowOverlap="1">
            <wp:simplePos x="0" y="0"/>
            <wp:positionH relativeFrom="column">
              <wp:posOffset>-2985135</wp:posOffset>
            </wp:positionH>
            <wp:positionV relativeFrom="paragraph">
              <wp:posOffset>-216535</wp:posOffset>
            </wp:positionV>
            <wp:extent cx="7145655" cy="927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45655" cy="92710"/>
                    </a:xfrm>
                    <a:prstGeom prst="rect">
                      <a:avLst/>
                    </a:prstGeom>
                    <a:noFill/>
                  </pic:spPr>
                </pic:pic>
              </a:graphicData>
            </a:graphic>
          </wp:anchor>
        </w:drawing>
        <w:drawing>
          <wp:anchor simplePos="0" relativeHeight="251657728" behindDoc="1" locked="0" layoutInCell="0" allowOverlap="1">
            <wp:simplePos x="0" y="0"/>
            <wp:positionH relativeFrom="column">
              <wp:posOffset>-2985135</wp:posOffset>
            </wp:positionH>
            <wp:positionV relativeFrom="paragraph">
              <wp:posOffset>-751205</wp:posOffset>
            </wp:positionV>
            <wp:extent cx="7145655" cy="927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45655" cy="92710"/>
                    </a:xfrm>
                    <a:prstGeom prst="rect">
                      <a:avLst/>
                    </a:prstGeom>
                    <a:noFill/>
                  </pic:spPr>
                </pic:pic>
              </a:graphicData>
            </a:graphic>
          </wp:anchor>
        </w:drawing>
      </w:r>
    </w:p>
    <w:p>
      <w:pPr>
        <w:spacing w:after="0" w:line="183" w:lineRule="exact"/>
        <w:rPr>
          <w:sz w:val="20"/>
          <w:szCs w:val="20"/>
          <w:color w:val="auto"/>
        </w:rPr>
      </w:pPr>
    </w:p>
    <w:p>
      <w:pPr>
        <w:sectPr>
          <w:pgSz w:w="11900" w:h="16838" w:orient="portrait"/>
          <w:cols w:equalWidth="0" w:num="2">
            <w:col w:w="3980" w:space="720"/>
            <w:col w:w="6560"/>
          </w:cols>
          <w:pgMar w:left="320" w:top="1440" w:right="319" w:bottom="1440" w:gutter="0" w:footer="0" w:header="0"/>
          <w:type w:val="continuous"/>
        </w:sectPr>
      </w:pPr>
    </w:p>
    <w:p>
      <w:pPr>
        <w:spacing w:after="0"/>
        <w:rPr>
          <w:sz w:val="20"/>
          <w:szCs w:val="20"/>
          <w:color w:val="auto"/>
        </w:rPr>
      </w:pPr>
      <w:r>
        <w:rPr>
          <w:rFonts w:ascii="Arial" w:cs="Arial" w:eastAsia="Arial" w:hAnsi="Arial"/>
          <w:sz w:val="16"/>
          <w:szCs w:val="16"/>
          <w:color w:val="auto"/>
        </w:rPr>
        <w:t>"n.m." means not meaningful.</w:t>
      </w:r>
    </w:p>
    <w:p>
      <w:pPr>
        <w:spacing w:after="0" w:line="207" w:lineRule="exact"/>
        <w:rPr>
          <w:sz w:val="20"/>
          <w:szCs w:val="20"/>
          <w:color w:val="auto"/>
        </w:rPr>
      </w:pPr>
    </w:p>
    <w:p>
      <w:pPr>
        <w:jc w:val="both"/>
        <w:ind w:right="80"/>
        <w:spacing w:after="0" w:line="284" w:lineRule="auto"/>
        <w:rPr>
          <w:sz w:val="20"/>
          <w:szCs w:val="20"/>
          <w:color w:val="auto"/>
        </w:rPr>
      </w:pPr>
      <w:r>
        <w:rPr>
          <w:rFonts w:ascii="Arial" w:cs="Arial" w:eastAsia="Arial" w:hAnsi="Arial"/>
          <w:sz w:val="16"/>
          <w:szCs w:val="16"/>
          <w:color w:val="auto"/>
        </w:rPr>
        <w:t>The Commercial Business Segment’s Profit was $16.0 million for 2Q21 (+8% QoQ; -2% YoY). The 8% quarterly increase was mostly attributable to higher revenues (+14% QoQ) driven by increased NII (+9% QoQ) mainly on higher average loans (+12% QoQ), and from an uplift in fees and commissions.</w:t>
      </w:r>
    </w:p>
    <w:p>
      <w:pPr>
        <w:spacing w:after="0" w:line="150" w:lineRule="exact"/>
        <w:rPr>
          <w:sz w:val="20"/>
          <w:szCs w:val="20"/>
          <w:color w:val="auto"/>
        </w:rPr>
      </w:pPr>
    </w:p>
    <w:p>
      <w:pPr>
        <w:jc w:val="both"/>
        <w:ind w:right="80"/>
        <w:spacing w:after="0" w:line="287" w:lineRule="auto"/>
        <w:rPr>
          <w:sz w:val="20"/>
          <w:szCs w:val="20"/>
          <w:color w:val="auto"/>
        </w:rPr>
      </w:pPr>
      <w:r>
        <w:rPr>
          <w:rFonts w:ascii="Arial" w:cs="Arial" w:eastAsia="Arial" w:hAnsi="Arial"/>
          <w:sz w:val="15"/>
          <w:szCs w:val="15"/>
          <w:color w:val="auto"/>
        </w:rPr>
        <w:t>Compared to 2Q20, the Commercial Business Segment’s Profit for 2Q21 decreased by 2%, mostly impacted by a $1.0 million charge in provision for credit losses due to Commercial Portfolio’s growth, compared to a $2.6 million reversal registered in 2Q20, as well as by higher allocated expenses, up 26% YoY. These effects were partly offset by increased other income YoY, related to $2.4 million in higher fees, mostly from the Letters of Credit business, and to a $3.0 million loss on financial instruments during 2Q20, related to the fair value adjustment of a debt instrument received as part of a loan restructuring back in 2018.</w:t>
      </w:r>
    </w:p>
    <w:p>
      <w:pPr>
        <w:spacing w:after="0" w:line="347" w:lineRule="exact"/>
        <w:rPr>
          <w:sz w:val="20"/>
          <w:szCs w:val="20"/>
          <w:color w:val="auto"/>
        </w:rPr>
      </w:pPr>
    </w:p>
    <w:p>
      <w:pPr>
        <w:jc w:val="right"/>
        <w:spacing w:after="0"/>
        <w:rPr>
          <w:sz w:val="20"/>
          <w:szCs w:val="20"/>
          <w:color w:val="auto"/>
        </w:rPr>
      </w:pPr>
      <w:r>
        <w:rPr>
          <w:rFonts w:ascii="Arial" w:cs="Arial" w:eastAsia="Arial" w:hAnsi="Arial"/>
          <w:sz w:val="16"/>
          <w:szCs w:val="16"/>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type w:val="continuous"/>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both"/>
        <w:ind w:right="100"/>
        <w:spacing w:after="0" w:line="284" w:lineRule="auto"/>
        <w:rPr>
          <w:sz w:val="20"/>
          <w:szCs w:val="20"/>
          <w:color w:val="auto"/>
        </w:rPr>
      </w:pPr>
      <w:r>
        <w:rPr>
          <w:rFonts w:ascii="Arial" w:cs="Arial" w:eastAsia="Arial" w:hAnsi="Arial"/>
          <w:sz w:val="16"/>
          <w:szCs w:val="16"/>
          <w:color w:val="auto"/>
        </w:rPr>
        <w:t>Year-to-date Commercial Business Segment’s Profit totaled $30.9 million (-17% YoY), mainly driven by a 14% decrease in NII primarily resulting from the impact of lower Libor-based loan rates.</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TREASURY BUSINESS SEGMENT</w:t>
      </w:r>
    </w:p>
    <w:p>
      <w:pPr>
        <w:spacing w:after="0" w:line="211" w:lineRule="exact"/>
        <w:rPr>
          <w:sz w:val="20"/>
          <w:szCs w:val="20"/>
          <w:color w:val="auto"/>
        </w:rPr>
      </w:pPr>
    </w:p>
    <w:p>
      <w:pPr>
        <w:jc w:val="both"/>
        <w:ind w:right="80"/>
        <w:spacing w:after="0" w:line="260" w:lineRule="auto"/>
        <w:rPr>
          <w:sz w:val="20"/>
          <w:szCs w:val="20"/>
          <w:color w:val="auto"/>
        </w:rPr>
      </w:pPr>
      <w:r>
        <w:rPr>
          <w:rFonts w:ascii="Arial" w:cs="Arial" w:eastAsia="Arial" w:hAnsi="Arial"/>
          <w:sz w:val="16"/>
          <w:szCs w:val="16"/>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71" w:lineRule="exact"/>
        <w:rPr>
          <w:sz w:val="20"/>
          <w:szCs w:val="20"/>
          <w:color w:val="auto"/>
        </w:rPr>
      </w:pPr>
    </w:p>
    <w:p>
      <w:pPr>
        <w:jc w:val="both"/>
        <w:ind w:right="100"/>
        <w:spacing w:after="0" w:line="295" w:lineRule="auto"/>
        <w:rPr>
          <w:sz w:val="20"/>
          <w:szCs w:val="20"/>
          <w:color w:val="auto"/>
        </w:rPr>
      </w:pPr>
      <w:r>
        <w:rPr>
          <w:rFonts w:ascii="Arial" w:cs="Arial" w:eastAsia="Arial" w:hAnsi="Arial"/>
          <w:sz w:val="15"/>
          <w:szCs w:val="15"/>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45" w:lineRule="exact"/>
        <w:rPr>
          <w:sz w:val="20"/>
          <w:szCs w:val="20"/>
          <w:color w:val="auto"/>
        </w:rPr>
      </w:pPr>
    </w:p>
    <w:p>
      <w:pPr>
        <w:jc w:val="both"/>
        <w:ind w:right="80"/>
        <w:spacing w:after="0" w:line="281" w:lineRule="auto"/>
        <w:rPr>
          <w:sz w:val="20"/>
          <w:szCs w:val="20"/>
          <w:color w:val="auto"/>
        </w:rPr>
      </w:pPr>
      <w:r>
        <w:rPr>
          <w:rFonts w:ascii="Arial" w:cs="Arial" w:eastAsia="Arial" w:hAnsi="Arial"/>
          <w:sz w:val="15"/>
          <w:szCs w:val="15"/>
          <w:color w:val="auto"/>
        </w:rPr>
        <w:t>The Bank’s liquid assets, mostly consisting of cash and due from banks, as well as highly rated corporate debt securities (above ‘A-‘) aimed to enhance liquidity yields, totaled $999 million at the end of 2Q21, up from $992 million a quarter ago and down from $1,959 million a year ago, as the Bank adjusted its liquidity position considering a more stable market environment and the Bank’s ample access to diversified funding sources. As of June 30, 2021, $691 million, or 69% of total liquid assets represented deposits placed with the Federal Reserve Bank of New York, while $201 million, or 20% of total liquid assets represented corporate debt securities classified as high quality liquid assets (“HQLA”) in accordance with the specifications of the Basel Committee. As of the end of 2Q21, 1Q21, and 2Q20, liquidity balances to total assets represented 15%, 16% and 30%, respectively, while the liquidity balances to total deposits ratio was 30%, 31% and 68%, respectively.</w:t>
      </w:r>
    </w:p>
    <w:p>
      <w:pPr>
        <w:spacing w:after="0" w:line="155" w:lineRule="exact"/>
        <w:rPr>
          <w:sz w:val="20"/>
          <w:szCs w:val="20"/>
          <w:color w:val="auto"/>
        </w:rPr>
      </w:pPr>
    </w:p>
    <w:p>
      <w:pPr>
        <w:jc w:val="both"/>
        <w:ind w:right="80"/>
        <w:spacing w:after="0" w:line="319" w:lineRule="auto"/>
        <w:rPr>
          <w:sz w:val="20"/>
          <w:szCs w:val="20"/>
          <w:color w:val="auto"/>
        </w:rPr>
      </w:pPr>
      <w:r>
        <w:rPr>
          <w:rFonts w:ascii="Arial" w:cs="Arial" w:eastAsia="Arial" w:hAnsi="Arial"/>
          <w:sz w:val="15"/>
          <w:szCs w:val="15"/>
          <w:color w:val="auto"/>
        </w:rPr>
        <w:t>The credit investment portfolio, related to the Treasury’s investment management activities aimed to complement the Bank’s Commercial Portfolio, increased to $322 million at the end of 2Q21, a 72% increase compared to $188 million a quarter ago and more than three times higher compared to $96 million a year ago.</w:t>
      </w:r>
    </w:p>
    <w:p>
      <w:pPr>
        <w:spacing w:after="0" w:line="127" w:lineRule="exact"/>
        <w:rPr>
          <w:sz w:val="20"/>
          <w:szCs w:val="20"/>
          <w:color w:val="auto"/>
        </w:rPr>
      </w:pPr>
    </w:p>
    <w:p>
      <w:pPr>
        <w:jc w:val="both"/>
        <w:ind w:right="80"/>
        <w:spacing w:after="0" w:line="264" w:lineRule="auto"/>
        <w:rPr>
          <w:sz w:val="20"/>
          <w:szCs w:val="20"/>
          <w:color w:val="auto"/>
        </w:rPr>
      </w:pPr>
      <w:r>
        <w:rPr>
          <w:rFonts w:ascii="Arial" w:cs="Arial" w:eastAsia="Arial" w:hAnsi="Arial"/>
          <w:sz w:val="16"/>
          <w:szCs w:val="16"/>
          <w:color w:val="auto"/>
        </w:rPr>
        <w:t>Total Investment Portfolio balances amounted to $523 million as of June 30, 2021, up 34% from $389 million a quarter ago, and more than four times higher from $96 million a year ago. Overall, the Investment Portfolio mostly consisted of readily-quoted Latin American and Multilateral securities, out of which 49% represented sovereign or state-owned risk at the end of the 2Q21, compared to 61% a quarter ago and 80% a year ago (refer to Exhibit X for a per-country risk distribution of the Investment Portfolio).</w:t>
      </w:r>
    </w:p>
    <w:p>
      <w:pPr>
        <w:spacing w:after="0" w:line="362" w:lineRule="exact"/>
        <w:rPr>
          <w:sz w:val="20"/>
          <w:szCs w:val="20"/>
          <w:color w:val="auto"/>
        </w:rPr>
      </w:pPr>
    </w:p>
    <w:p>
      <w:pPr>
        <w:jc w:val="right"/>
        <w:spacing w:after="0"/>
        <w:rPr>
          <w:sz w:val="20"/>
          <w:szCs w:val="20"/>
          <w:color w:val="auto"/>
        </w:rPr>
      </w:pPr>
      <w:r>
        <w:rPr>
          <w:rFonts w:ascii="Arial" w:cs="Arial" w:eastAsia="Arial" w:hAnsi="Arial"/>
          <w:sz w:val="16"/>
          <w:szCs w:val="16"/>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both"/>
        <w:ind w:right="80"/>
        <w:spacing w:after="0" w:line="281" w:lineRule="auto"/>
        <w:rPr>
          <w:sz w:val="20"/>
          <w:szCs w:val="20"/>
          <w:color w:val="auto"/>
        </w:rPr>
      </w:pPr>
      <w:r>
        <w:rPr>
          <w:rFonts w:ascii="Arial" w:cs="Arial" w:eastAsia="Arial" w:hAnsi="Arial"/>
          <w:sz w:val="15"/>
          <w:szCs w:val="15"/>
          <w:color w:val="auto"/>
        </w:rPr>
        <w:t>On the funding side, deposit balances increased to $3.3 billion at the end of 2Q21, up 5% QoQ and 16% YoY. The continued growth in the Bank’s deposit base denotes the growth of its Yankee CD program which complements the short-term funding structure, and the steady support from the Bank’s Class A shareholders (i.e.: central banks and their designees), which represented 48% of total deposits at the end of 2Q21, compared to 46% and 53% of total deposits a quarter and year ago, respectively. As of June 30, 2021, total deposits represented 61% of total funding sources, same as the previous quarter and up from 52% a year ago. In turn, short- and medium-term borrowings and debt totaled $2.1 billion at the end of 2Q21 (+10% QoQ and -22% YoY). Weighted average funding costs improved to 0.93% in 2Q21 (-17 bps QoQ; -64 bps YoY) and 1.01% in the first 6M21 (-97 bps YoY), benefiting from the impact of lower market rates.</w:t>
      </w:r>
    </w:p>
    <w:p>
      <w:pPr>
        <w:spacing w:after="0" w:line="148"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480" w:type="dxa"/>
            <w:vAlign w:val="bottom"/>
            <w:gridSpan w:val="2"/>
          </w:tcPr>
          <w:p>
            <w:pPr>
              <w:spacing w:after="0"/>
              <w:rPr>
                <w:sz w:val="20"/>
                <w:szCs w:val="20"/>
                <w:color w:val="auto"/>
              </w:rPr>
            </w:pPr>
            <w:r>
              <w:rPr>
                <w:rFonts w:ascii="Arial" w:cs="Arial" w:eastAsia="Arial" w:hAnsi="Arial"/>
                <w:sz w:val="13"/>
                <w:szCs w:val="13"/>
                <w:color w:val="auto"/>
              </w:rPr>
              <w:t>(US$ million)</w:t>
            </w:r>
          </w:p>
        </w:tc>
        <w:tc>
          <w:tcPr>
            <w:tcW w:w="120" w:type="dxa"/>
            <w:vAlign w:val="bottom"/>
          </w:tcPr>
          <w:p>
            <w:pPr>
              <w:spacing w:after="0"/>
              <w:rPr>
                <w:sz w:val="14"/>
                <w:szCs w:val="14"/>
                <w:color w:val="auto"/>
              </w:rPr>
            </w:pPr>
          </w:p>
        </w:tc>
        <w:tc>
          <w:tcPr>
            <w:tcW w:w="780" w:type="dxa"/>
            <w:vAlign w:val="bottom"/>
            <w:gridSpan w:val="2"/>
          </w:tcPr>
          <w:p>
            <w:pPr>
              <w:jc w:val="right"/>
              <w:ind w:right="322"/>
              <w:spacing w:after="0"/>
              <w:rPr>
                <w:sz w:val="20"/>
                <w:szCs w:val="20"/>
                <w:color w:val="auto"/>
              </w:rPr>
            </w:pPr>
            <w:r>
              <w:rPr>
                <w:rFonts w:ascii="Arial" w:cs="Arial" w:eastAsia="Arial" w:hAnsi="Arial"/>
                <w:sz w:val="13"/>
                <w:szCs w:val="13"/>
                <w:b w:val="1"/>
                <w:bCs w:val="1"/>
                <w:color w:val="auto"/>
              </w:rPr>
              <w:t>2Q21</w:t>
            </w:r>
          </w:p>
        </w:tc>
        <w:tc>
          <w:tcPr>
            <w:tcW w:w="100" w:type="dxa"/>
            <w:vAlign w:val="bottom"/>
          </w:tcPr>
          <w:p>
            <w:pPr>
              <w:spacing w:after="0"/>
              <w:rPr>
                <w:sz w:val="14"/>
                <w:szCs w:val="14"/>
                <w:color w:val="auto"/>
              </w:rPr>
            </w:pPr>
          </w:p>
        </w:tc>
        <w:tc>
          <w:tcPr>
            <w:tcW w:w="700" w:type="dxa"/>
            <w:vAlign w:val="bottom"/>
            <w:gridSpan w:val="2"/>
          </w:tcPr>
          <w:p>
            <w:pPr>
              <w:jc w:val="right"/>
              <w:ind w:right="222"/>
              <w:spacing w:after="0"/>
              <w:rPr>
                <w:sz w:val="20"/>
                <w:szCs w:val="20"/>
                <w:color w:val="auto"/>
              </w:rPr>
            </w:pPr>
            <w:r>
              <w:rPr>
                <w:rFonts w:ascii="Arial" w:cs="Arial" w:eastAsia="Arial" w:hAnsi="Arial"/>
                <w:sz w:val="13"/>
                <w:szCs w:val="13"/>
                <w:b w:val="1"/>
                <w:bCs w:val="1"/>
                <w:color w:val="auto"/>
              </w:rPr>
              <w:t>1Q21</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right"/>
              <w:ind w:right="322"/>
              <w:spacing w:after="0"/>
              <w:rPr>
                <w:sz w:val="20"/>
                <w:szCs w:val="20"/>
                <w:color w:val="auto"/>
              </w:rPr>
            </w:pPr>
            <w:r>
              <w:rPr>
                <w:rFonts w:ascii="Arial" w:cs="Arial" w:eastAsia="Arial" w:hAnsi="Arial"/>
                <w:sz w:val="13"/>
                <w:szCs w:val="13"/>
                <w:b w:val="1"/>
                <w:bCs w:val="1"/>
                <w:color w:val="auto"/>
              </w:rPr>
              <w:t>2Q20</w:t>
            </w:r>
          </w:p>
        </w:tc>
        <w:tc>
          <w:tcPr>
            <w:tcW w:w="80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w w:val="99"/>
              </w:rPr>
              <w:t>QoQ (%)</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YoY (%)</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right"/>
              <w:ind w:right="302"/>
              <w:spacing w:after="0"/>
              <w:rPr>
                <w:sz w:val="20"/>
                <w:szCs w:val="20"/>
                <w:color w:val="auto"/>
              </w:rPr>
            </w:pPr>
            <w:r>
              <w:rPr>
                <w:rFonts w:ascii="Arial" w:cs="Arial" w:eastAsia="Arial" w:hAnsi="Arial"/>
                <w:sz w:val="13"/>
                <w:szCs w:val="13"/>
                <w:b w:val="1"/>
                <w:bCs w:val="1"/>
                <w:color w:val="auto"/>
              </w:rPr>
              <w:t>6M21</w:t>
            </w:r>
          </w:p>
        </w:tc>
        <w:tc>
          <w:tcPr>
            <w:tcW w:w="120" w:type="dxa"/>
            <w:vAlign w:val="bottom"/>
          </w:tcPr>
          <w:p>
            <w:pPr>
              <w:spacing w:after="0"/>
              <w:rPr>
                <w:sz w:val="14"/>
                <w:szCs w:val="14"/>
                <w:color w:val="auto"/>
              </w:rPr>
            </w:pPr>
          </w:p>
        </w:tc>
        <w:tc>
          <w:tcPr>
            <w:tcW w:w="780" w:type="dxa"/>
            <w:vAlign w:val="bottom"/>
            <w:gridSpan w:val="2"/>
          </w:tcPr>
          <w:p>
            <w:pPr>
              <w:jc w:val="right"/>
              <w:ind w:right="302"/>
              <w:spacing w:after="0"/>
              <w:rPr>
                <w:sz w:val="20"/>
                <w:szCs w:val="20"/>
                <w:color w:val="auto"/>
              </w:rPr>
            </w:pPr>
            <w:r>
              <w:rPr>
                <w:rFonts w:ascii="Arial" w:cs="Arial" w:eastAsia="Arial" w:hAnsi="Arial"/>
                <w:sz w:val="13"/>
                <w:szCs w:val="13"/>
                <w:b w:val="1"/>
                <w:bCs w:val="1"/>
                <w:color w:val="auto"/>
              </w:rPr>
              <w:t>6M20</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rPr>
              <w:t>YoY (%)</w:t>
            </w:r>
          </w:p>
        </w:tc>
      </w:tr>
      <w:tr>
        <w:trPr>
          <w:trHeight w:val="126"/>
        </w:trPr>
        <w:tc>
          <w:tcPr>
            <w:tcW w:w="4380" w:type="dxa"/>
            <w:vAlign w:val="bottom"/>
            <w:tcBorders>
              <w:top w:val="single" w:sz="8" w:color="auto"/>
            </w:tcBorders>
            <w:shd w:val="clear" w:color="auto" w:fill="CCEEFF"/>
          </w:tcPr>
          <w:p>
            <w:pPr>
              <w:spacing w:after="0" w:line="127" w:lineRule="exact"/>
              <w:rPr>
                <w:sz w:val="20"/>
                <w:szCs w:val="20"/>
                <w:color w:val="auto"/>
              </w:rPr>
            </w:pPr>
            <w:r>
              <w:rPr>
                <w:rFonts w:ascii="Arial" w:cs="Arial" w:eastAsia="Arial" w:hAnsi="Arial"/>
                <w:sz w:val="13"/>
                <w:szCs w:val="13"/>
                <w:b w:val="1"/>
                <w:bCs w:val="1"/>
                <w:color w:val="auto"/>
              </w:rPr>
              <w:t>Treasury Business Segment:</w:t>
            </w:r>
          </w:p>
        </w:tc>
        <w:tc>
          <w:tcPr>
            <w:tcW w:w="10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r>
      <w:tr>
        <w:trPr>
          <w:trHeight w:val="134"/>
        </w:trPr>
        <w:tc>
          <w:tcPr>
            <w:tcW w:w="4480" w:type="dxa"/>
            <w:vAlign w:val="bottom"/>
            <w:gridSpan w:val="2"/>
          </w:tcPr>
          <w:p>
            <w:pPr>
              <w:ind w:left="140"/>
              <w:spacing w:after="0" w:line="134" w:lineRule="exact"/>
              <w:rPr>
                <w:sz w:val="20"/>
                <w:szCs w:val="20"/>
                <w:color w:val="auto"/>
              </w:rPr>
            </w:pPr>
            <w:r>
              <w:rPr>
                <w:rFonts w:ascii="Arial" w:cs="Arial" w:eastAsia="Arial" w:hAnsi="Arial"/>
                <w:sz w:val="13"/>
                <w:szCs w:val="13"/>
                <w:color w:val="auto"/>
              </w:rPr>
              <w:t>Net interest income</w:t>
            </w:r>
          </w:p>
        </w:tc>
        <w:tc>
          <w:tcPr>
            <w:tcW w:w="120" w:type="dxa"/>
            <w:vAlign w:val="bottom"/>
          </w:tcPr>
          <w:p>
            <w:pPr>
              <w:jc w:val="right"/>
              <w:spacing w:after="0" w:line="134" w:lineRule="exact"/>
              <w:rPr>
                <w:sz w:val="20"/>
                <w:szCs w:val="20"/>
                <w:color w:val="auto"/>
              </w:rPr>
            </w:pPr>
            <w:r>
              <w:rPr>
                <w:rFonts w:ascii="Arial" w:cs="Arial" w:eastAsia="Arial" w:hAnsi="Arial"/>
                <w:sz w:val="13"/>
                <w:szCs w:val="13"/>
                <w:color w:val="auto"/>
                <w:w w:val="82"/>
              </w:rPr>
              <w:t>$</w:t>
            </w:r>
          </w:p>
        </w:tc>
        <w:tc>
          <w:tcPr>
            <w:tcW w:w="7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0.5</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82"/>
              <w:spacing w:after="0" w:line="134" w:lineRule="exact"/>
              <w:rPr>
                <w:sz w:val="20"/>
                <w:szCs w:val="20"/>
                <w:color w:val="auto"/>
              </w:rPr>
            </w:pPr>
            <w:r>
              <w:rPr>
                <w:rFonts w:ascii="Arial" w:cs="Arial" w:eastAsia="Arial" w:hAnsi="Arial"/>
                <w:sz w:val="13"/>
                <w:szCs w:val="13"/>
                <w:color w:val="auto"/>
              </w:rPr>
              <w:t>0.2</w:t>
            </w:r>
          </w:p>
        </w:tc>
        <w:tc>
          <w:tcPr>
            <w:tcW w:w="20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0.8</w:t>
            </w:r>
          </w:p>
        </w:tc>
        <w:tc>
          <w:tcPr>
            <w:tcW w:w="80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218%</w:t>
            </w:r>
          </w:p>
        </w:tc>
        <w:tc>
          <w:tcPr>
            <w:tcW w:w="76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-36%</w:t>
            </w:r>
          </w:p>
        </w:tc>
        <w:tc>
          <w:tcPr>
            <w:tcW w:w="16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0.7</w:t>
            </w:r>
          </w:p>
        </w:tc>
        <w:tc>
          <w:tcPr>
            <w:tcW w:w="120" w:type="dxa"/>
            <w:vAlign w:val="bottom"/>
          </w:tcPr>
          <w:p>
            <w:pPr>
              <w:jc w:val="right"/>
              <w:ind w:right="11"/>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1.8</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3"/>
                <w:szCs w:val="13"/>
                <w:color w:val="auto"/>
              </w:rPr>
              <w:t>-63%</w:t>
            </w:r>
          </w:p>
        </w:tc>
      </w:tr>
      <w:tr>
        <w:trPr>
          <w:trHeight w:val="146"/>
        </w:trPr>
        <w:tc>
          <w:tcPr>
            <w:tcW w:w="4480" w:type="dxa"/>
            <w:vAlign w:val="bottom"/>
            <w:gridSpan w:val="2"/>
            <w:shd w:val="clear" w:color="auto" w:fill="CCEEFF"/>
          </w:tcPr>
          <w:p>
            <w:pPr>
              <w:ind w:left="140"/>
              <w:spacing w:after="0" w:line="147" w:lineRule="exact"/>
              <w:rPr>
                <w:sz w:val="20"/>
                <w:szCs w:val="20"/>
                <w:color w:val="auto"/>
              </w:rPr>
            </w:pPr>
            <w:r>
              <w:rPr>
                <w:rFonts w:ascii="Arial" w:cs="Arial" w:eastAsia="Arial" w:hAnsi="Arial"/>
                <w:sz w:val="13"/>
                <w:szCs w:val="13"/>
                <w:color w:val="auto"/>
              </w:rPr>
              <w:t>Other income (expense)</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2"/>
              <w:spacing w:after="0" w:line="147" w:lineRule="exact"/>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2"/>
              <w:spacing w:after="0" w:line="147" w:lineRule="exact"/>
              <w:rPr>
                <w:sz w:val="20"/>
                <w:szCs w:val="20"/>
                <w:color w:val="auto"/>
              </w:rPr>
            </w:pPr>
            <w:r>
              <w:rPr>
                <w:rFonts w:ascii="Arial" w:cs="Arial" w:eastAsia="Arial" w:hAnsi="Arial"/>
                <w:sz w:val="13"/>
                <w:szCs w:val="13"/>
                <w:color w:val="auto"/>
              </w:rPr>
              <w:t>(0.2)</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2"/>
              <w:spacing w:after="0" w:line="147" w:lineRule="exact"/>
              <w:rPr>
                <w:sz w:val="20"/>
                <w:szCs w:val="20"/>
                <w:color w:val="auto"/>
              </w:rPr>
            </w:pPr>
            <w:r>
              <w:rPr>
                <w:rFonts w:ascii="Arial" w:cs="Arial" w:eastAsia="Arial" w:hAnsi="Arial"/>
                <w:sz w:val="13"/>
                <w:szCs w:val="13"/>
                <w:color w:val="auto"/>
              </w:rPr>
              <w:t>(1.0)</w:t>
            </w:r>
          </w:p>
        </w:tc>
        <w:tc>
          <w:tcPr>
            <w:tcW w:w="8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3"/>
                <w:szCs w:val="13"/>
                <w:color w:val="auto"/>
              </w:rPr>
              <w:t>159%</w:t>
            </w:r>
          </w:p>
        </w:tc>
        <w:tc>
          <w:tcPr>
            <w:tcW w:w="76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3"/>
                <w:szCs w:val="13"/>
                <w:color w:val="auto"/>
              </w:rPr>
              <w:t>111%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2"/>
              <w:spacing w:after="0" w:line="147" w:lineRule="exact"/>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2"/>
              <w:spacing w:after="0" w:line="147" w:lineRule="exact"/>
              <w:rPr>
                <w:sz w:val="20"/>
                <w:szCs w:val="20"/>
                <w:color w:val="auto"/>
              </w:rPr>
            </w:pPr>
            <w:r>
              <w:rPr>
                <w:rFonts w:ascii="Arial" w:cs="Arial" w:eastAsia="Arial" w:hAnsi="Arial"/>
                <w:sz w:val="13"/>
                <w:szCs w:val="13"/>
                <w:color w:val="auto"/>
              </w:rPr>
              <w:t>(1.4)</w:t>
            </w:r>
          </w:p>
        </w:tc>
        <w:tc>
          <w:tcPr>
            <w:tcW w:w="70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3"/>
                <w:szCs w:val="13"/>
                <w:color w:val="auto"/>
              </w:rPr>
              <w:t>95%</w:t>
            </w:r>
          </w:p>
        </w:tc>
      </w:tr>
      <w:tr>
        <w:trPr>
          <w:trHeight w:val="126"/>
        </w:trPr>
        <w:tc>
          <w:tcPr>
            <w:tcW w:w="4480" w:type="dxa"/>
            <w:vAlign w:val="bottom"/>
            <w:gridSpan w:val="2"/>
          </w:tcPr>
          <w:p>
            <w:pPr>
              <w:spacing w:after="0" w:line="127" w:lineRule="exact"/>
              <w:rPr>
                <w:sz w:val="20"/>
                <w:szCs w:val="20"/>
                <w:color w:val="auto"/>
              </w:rPr>
            </w:pPr>
            <w:r>
              <w:rPr>
                <w:rFonts w:ascii="Arial" w:cs="Arial" w:eastAsia="Arial" w:hAnsi="Arial"/>
                <w:sz w:val="13"/>
                <w:szCs w:val="13"/>
                <w:b w:val="1"/>
                <w:bCs w:val="1"/>
                <w:color w:val="auto"/>
              </w:rPr>
              <w:t>Total revenues</w:t>
            </w:r>
          </w:p>
        </w:tc>
        <w:tc>
          <w:tcPr>
            <w:tcW w:w="1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3"/>
                <w:szCs w:val="13"/>
                <w:b w:val="1"/>
                <w:bCs w:val="1"/>
                <w:color w:val="auto"/>
              </w:rPr>
              <w:t>0.6</w:t>
            </w:r>
          </w:p>
        </w:tc>
        <w:tc>
          <w:tcPr>
            <w:tcW w:w="22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3"/>
                <w:szCs w:val="13"/>
                <w:b w:val="1"/>
                <w:bCs w:val="1"/>
                <w:color w:val="auto"/>
              </w:rPr>
              <w:t>(0.0)</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3"/>
                <w:szCs w:val="13"/>
                <w:b w:val="1"/>
                <w:bCs w:val="1"/>
                <w:color w:val="auto"/>
              </w:rPr>
              <w:t>(0.2)</w:t>
            </w:r>
          </w:p>
        </w:tc>
        <w:tc>
          <w:tcPr>
            <w:tcW w:w="220" w:type="dxa"/>
            <w:vAlign w:val="bottom"/>
          </w:tcPr>
          <w:p>
            <w:pPr>
              <w:spacing w:after="0"/>
              <w:rPr>
                <w:sz w:val="10"/>
                <w:szCs w:val="10"/>
                <w:color w:val="auto"/>
              </w:rPr>
            </w:pPr>
          </w:p>
        </w:tc>
        <w:tc>
          <w:tcPr>
            <w:tcW w:w="800" w:type="dxa"/>
            <w:vAlign w:val="bottom"/>
            <w:gridSpan w:val="2"/>
          </w:tcPr>
          <w:p>
            <w:pPr>
              <w:jc w:val="right"/>
              <w:ind w:right="240"/>
              <w:spacing w:after="0" w:line="127" w:lineRule="exact"/>
              <w:rPr>
                <w:sz w:val="20"/>
                <w:szCs w:val="20"/>
                <w:color w:val="auto"/>
              </w:rPr>
            </w:pPr>
            <w:r>
              <w:rPr>
                <w:rFonts w:ascii="Arial" w:cs="Arial" w:eastAsia="Arial" w:hAnsi="Arial"/>
                <w:sz w:val="13"/>
                <w:szCs w:val="13"/>
                <w:b w:val="1"/>
                <w:bCs w:val="1"/>
                <w:color w:val="auto"/>
              </w:rPr>
              <w:t>n.m.</w:t>
            </w:r>
          </w:p>
        </w:tc>
        <w:tc>
          <w:tcPr>
            <w:tcW w:w="760" w:type="dxa"/>
            <w:vAlign w:val="bottom"/>
            <w:gridSpan w:val="2"/>
          </w:tcPr>
          <w:p>
            <w:pPr>
              <w:jc w:val="right"/>
              <w:ind w:right="60"/>
              <w:spacing w:after="0" w:line="127" w:lineRule="exact"/>
              <w:rPr>
                <w:sz w:val="20"/>
                <w:szCs w:val="20"/>
                <w:color w:val="auto"/>
              </w:rPr>
            </w:pPr>
            <w:r>
              <w:rPr>
                <w:rFonts w:ascii="Arial" w:cs="Arial" w:eastAsia="Arial" w:hAnsi="Arial"/>
                <w:sz w:val="13"/>
                <w:szCs w:val="13"/>
                <w:b w:val="1"/>
                <w:bCs w:val="1"/>
                <w:color w:val="auto"/>
              </w:rPr>
              <w:t>382%</w:t>
            </w:r>
          </w:p>
        </w:tc>
        <w:tc>
          <w:tcPr>
            <w:tcW w:w="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3"/>
                <w:szCs w:val="13"/>
                <w:b w:val="1"/>
                <w:bCs w:val="1"/>
                <w:color w:val="auto"/>
              </w:rPr>
              <w:t>0.6</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3"/>
                <w:szCs w:val="13"/>
                <w:b w:val="1"/>
                <w:bCs w:val="1"/>
                <w:color w:val="auto"/>
              </w:rPr>
              <w:t>0.4</w:t>
            </w:r>
          </w:p>
        </w:tc>
        <w:tc>
          <w:tcPr>
            <w:tcW w:w="220" w:type="dxa"/>
            <w:vAlign w:val="bottom"/>
          </w:tcPr>
          <w:p>
            <w:pPr>
              <w:spacing w:after="0"/>
              <w:rPr>
                <w:sz w:val="10"/>
                <w:szCs w:val="10"/>
                <w:color w:val="auto"/>
              </w:rPr>
            </w:pPr>
          </w:p>
        </w:tc>
        <w:tc>
          <w:tcPr>
            <w:tcW w:w="700" w:type="dxa"/>
            <w:vAlign w:val="bottom"/>
            <w:gridSpan w:val="2"/>
          </w:tcPr>
          <w:p>
            <w:pPr>
              <w:jc w:val="right"/>
              <w:ind w:right="20"/>
              <w:spacing w:after="0" w:line="127" w:lineRule="exact"/>
              <w:rPr>
                <w:sz w:val="20"/>
                <w:szCs w:val="20"/>
                <w:color w:val="auto"/>
              </w:rPr>
            </w:pPr>
            <w:r>
              <w:rPr>
                <w:rFonts w:ascii="Arial" w:cs="Arial" w:eastAsia="Arial" w:hAnsi="Arial"/>
                <w:sz w:val="13"/>
                <w:szCs w:val="13"/>
                <w:b w:val="1"/>
                <w:bCs w:val="1"/>
                <w:color w:val="auto"/>
              </w:rPr>
              <w:t>45%</w:t>
            </w:r>
          </w:p>
        </w:tc>
      </w:tr>
      <w:tr>
        <w:trPr>
          <w:trHeight w:val="134"/>
        </w:trPr>
        <w:tc>
          <w:tcPr>
            <w:tcW w:w="4480" w:type="dxa"/>
            <w:vAlign w:val="bottom"/>
            <w:gridSpan w:val="2"/>
            <w:shd w:val="clear" w:color="auto" w:fill="CCEEFF"/>
          </w:tcPr>
          <w:p>
            <w:pPr>
              <w:ind w:left="140"/>
              <w:spacing w:after="0" w:line="134" w:lineRule="exact"/>
              <w:rPr>
                <w:sz w:val="20"/>
                <w:szCs w:val="20"/>
                <w:color w:val="auto"/>
              </w:rPr>
            </w:pPr>
            <w:r>
              <w:rPr>
                <w:rFonts w:ascii="Arial" w:cs="Arial" w:eastAsia="Arial" w:hAnsi="Arial"/>
                <w:sz w:val="13"/>
                <w:szCs w:val="13"/>
                <w:color w:val="auto"/>
              </w:rPr>
              <w:t>(Provision) reversal for credit losses</w:t>
            </w: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2"/>
              <w:spacing w:after="0" w:line="134" w:lineRule="exact"/>
              <w:rPr>
                <w:sz w:val="20"/>
                <w:szCs w:val="20"/>
                <w:color w:val="auto"/>
              </w:rPr>
            </w:pPr>
            <w:r>
              <w:rPr>
                <w:rFonts w:ascii="Arial" w:cs="Arial" w:eastAsia="Arial" w:hAnsi="Arial"/>
                <w:sz w:val="13"/>
                <w:szCs w:val="13"/>
                <w:color w:val="auto"/>
              </w:rPr>
              <w:t>(0.3)</w:t>
            </w:r>
          </w:p>
        </w:tc>
        <w:tc>
          <w:tcPr>
            <w:tcW w:w="1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42"/>
              <w:spacing w:after="0" w:line="134" w:lineRule="exact"/>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82"/>
              <w:spacing w:after="0" w:line="134" w:lineRule="exact"/>
              <w:rPr>
                <w:sz w:val="20"/>
                <w:szCs w:val="20"/>
                <w:color w:val="auto"/>
              </w:rPr>
            </w:pPr>
            <w:r>
              <w:rPr>
                <w:rFonts w:ascii="Arial" w:cs="Arial" w:eastAsia="Arial" w:hAnsi="Arial"/>
                <w:sz w:val="13"/>
                <w:szCs w:val="13"/>
                <w:color w:val="auto"/>
              </w:rPr>
              <w:t>0.0</w:t>
            </w:r>
          </w:p>
        </w:tc>
        <w:tc>
          <w:tcPr>
            <w:tcW w:w="8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-824%</w:t>
            </w:r>
          </w:p>
        </w:tc>
        <w:tc>
          <w:tcPr>
            <w:tcW w:w="76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3"/>
                <w:szCs w:val="13"/>
                <w:color w:val="auto"/>
              </w:rPr>
              <w:t>n.m.</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2"/>
              <w:spacing w:after="0" w:line="134" w:lineRule="exact"/>
              <w:rPr>
                <w:sz w:val="20"/>
                <w:szCs w:val="20"/>
                <w:color w:val="auto"/>
              </w:rPr>
            </w:pPr>
            <w:r>
              <w:rPr>
                <w:rFonts w:ascii="Arial" w:cs="Arial" w:eastAsia="Arial" w:hAnsi="Arial"/>
                <w:sz w:val="13"/>
                <w:szCs w:val="13"/>
                <w:color w:val="auto"/>
              </w:rPr>
              <w:t>(0.4)</w:t>
            </w: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82"/>
              <w:spacing w:after="0" w:line="134" w:lineRule="exact"/>
              <w:rPr>
                <w:sz w:val="20"/>
                <w:szCs w:val="20"/>
                <w:color w:val="auto"/>
              </w:rPr>
            </w:pPr>
            <w:r>
              <w:rPr>
                <w:rFonts w:ascii="Arial" w:cs="Arial" w:eastAsia="Arial" w:hAnsi="Arial"/>
                <w:sz w:val="13"/>
                <w:szCs w:val="13"/>
                <w:color w:val="auto"/>
              </w:rPr>
              <w:t>0.0</w:t>
            </w:r>
          </w:p>
        </w:tc>
        <w:tc>
          <w:tcPr>
            <w:tcW w:w="7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3"/>
                <w:szCs w:val="13"/>
                <w:color w:val="auto"/>
              </w:rPr>
              <w:t>n.m.</w:t>
            </w:r>
          </w:p>
        </w:tc>
      </w:tr>
      <w:tr>
        <w:trPr>
          <w:trHeight w:val="146"/>
        </w:trPr>
        <w:tc>
          <w:tcPr>
            <w:tcW w:w="4480" w:type="dxa"/>
            <w:vAlign w:val="bottom"/>
            <w:gridSpan w:val="2"/>
          </w:tcPr>
          <w:p>
            <w:pPr>
              <w:ind w:left="140"/>
              <w:spacing w:after="0" w:line="147" w:lineRule="exact"/>
              <w:rPr>
                <w:sz w:val="20"/>
                <w:szCs w:val="20"/>
                <w:color w:val="auto"/>
              </w:rPr>
            </w:pPr>
            <w:r>
              <w:rPr>
                <w:rFonts w:ascii="Arial" w:cs="Arial" w:eastAsia="Arial" w:hAnsi="Arial"/>
                <w:sz w:val="13"/>
                <w:szCs w:val="13"/>
                <w:color w:val="auto"/>
              </w:rPr>
              <w:t>Operating expenses</w:t>
            </w:r>
          </w:p>
        </w:tc>
        <w:tc>
          <w:tcPr>
            <w:tcW w:w="120" w:type="dxa"/>
            <w:vAlign w:val="bottom"/>
          </w:tcPr>
          <w:p>
            <w:pPr>
              <w:spacing w:after="0"/>
              <w:rPr>
                <w:sz w:val="12"/>
                <w:szCs w:val="12"/>
                <w:color w:val="auto"/>
              </w:rPr>
            </w:pPr>
          </w:p>
        </w:tc>
        <w:tc>
          <w:tcPr>
            <w:tcW w:w="780" w:type="dxa"/>
            <w:vAlign w:val="bottom"/>
            <w:gridSpan w:val="2"/>
          </w:tcPr>
          <w:p>
            <w:pPr>
              <w:jc w:val="right"/>
              <w:ind w:right="142"/>
              <w:spacing w:after="0" w:line="147" w:lineRule="exact"/>
              <w:rPr>
                <w:sz w:val="20"/>
                <w:szCs w:val="20"/>
                <w:color w:val="auto"/>
              </w:rPr>
            </w:pPr>
            <w:r>
              <w:rPr>
                <w:rFonts w:ascii="Arial" w:cs="Arial" w:eastAsia="Arial" w:hAnsi="Arial"/>
                <w:sz w:val="13"/>
                <w:szCs w:val="13"/>
                <w:color w:val="auto"/>
              </w:rPr>
              <w:t>(2.2)</w:t>
            </w:r>
          </w:p>
        </w:tc>
        <w:tc>
          <w:tcPr>
            <w:tcW w:w="100" w:type="dxa"/>
            <w:vAlign w:val="bottom"/>
          </w:tcPr>
          <w:p>
            <w:pPr>
              <w:spacing w:after="0"/>
              <w:rPr>
                <w:sz w:val="12"/>
                <w:szCs w:val="12"/>
                <w:color w:val="auto"/>
              </w:rPr>
            </w:pPr>
          </w:p>
        </w:tc>
        <w:tc>
          <w:tcPr>
            <w:tcW w:w="700" w:type="dxa"/>
            <w:vAlign w:val="bottom"/>
            <w:gridSpan w:val="2"/>
          </w:tcPr>
          <w:p>
            <w:pPr>
              <w:jc w:val="right"/>
              <w:ind w:right="42"/>
              <w:spacing w:after="0" w:line="147" w:lineRule="exact"/>
              <w:rPr>
                <w:sz w:val="20"/>
                <w:szCs w:val="20"/>
                <w:color w:val="auto"/>
              </w:rPr>
            </w:pPr>
            <w:r>
              <w:rPr>
                <w:rFonts w:ascii="Arial" w:cs="Arial" w:eastAsia="Arial" w:hAnsi="Arial"/>
                <w:sz w:val="13"/>
                <w:szCs w:val="13"/>
                <w:color w:val="auto"/>
              </w:rPr>
              <w:t>(2.0)</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42"/>
              <w:spacing w:after="0" w:line="147" w:lineRule="exact"/>
              <w:rPr>
                <w:sz w:val="20"/>
                <w:szCs w:val="20"/>
                <w:color w:val="auto"/>
              </w:rPr>
            </w:pPr>
            <w:r>
              <w:rPr>
                <w:rFonts w:ascii="Arial" w:cs="Arial" w:eastAsia="Arial" w:hAnsi="Arial"/>
                <w:sz w:val="13"/>
                <w:szCs w:val="13"/>
                <w:color w:val="auto"/>
              </w:rPr>
              <w:t>(2.0)</w:t>
            </w:r>
          </w:p>
        </w:tc>
        <w:tc>
          <w:tcPr>
            <w:tcW w:w="800" w:type="dxa"/>
            <w:vAlign w:val="bottom"/>
            <w:gridSpan w:val="2"/>
          </w:tcPr>
          <w:p>
            <w:pPr>
              <w:jc w:val="right"/>
              <w:ind w:right="120"/>
              <w:spacing w:after="0" w:line="147" w:lineRule="exact"/>
              <w:rPr>
                <w:sz w:val="20"/>
                <w:szCs w:val="20"/>
                <w:color w:val="auto"/>
              </w:rPr>
            </w:pPr>
            <w:r>
              <w:rPr>
                <w:rFonts w:ascii="Arial" w:cs="Arial" w:eastAsia="Arial" w:hAnsi="Arial"/>
                <w:sz w:val="13"/>
                <w:szCs w:val="13"/>
                <w:color w:val="auto"/>
              </w:rPr>
              <w:t>-12%</w:t>
            </w:r>
          </w:p>
        </w:tc>
        <w:tc>
          <w:tcPr>
            <w:tcW w:w="760" w:type="dxa"/>
            <w:vAlign w:val="bottom"/>
            <w:gridSpan w:val="2"/>
          </w:tcPr>
          <w:p>
            <w:pPr>
              <w:jc w:val="right"/>
              <w:ind w:right="80"/>
              <w:spacing w:after="0" w:line="147" w:lineRule="exact"/>
              <w:rPr>
                <w:sz w:val="20"/>
                <w:szCs w:val="20"/>
                <w:color w:val="auto"/>
              </w:rPr>
            </w:pPr>
            <w:r>
              <w:rPr>
                <w:rFonts w:ascii="Arial" w:cs="Arial" w:eastAsia="Arial" w:hAnsi="Arial"/>
                <w:sz w:val="13"/>
                <w:szCs w:val="13"/>
                <w:color w:val="auto"/>
              </w:rPr>
              <w:t>-12%</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42"/>
              <w:spacing w:after="0" w:line="147" w:lineRule="exact"/>
              <w:rPr>
                <w:sz w:val="20"/>
                <w:szCs w:val="20"/>
                <w:color w:val="auto"/>
              </w:rPr>
            </w:pPr>
            <w:r>
              <w:rPr>
                <w:rFonts w:ascii="Arial" w:cs="Arial" w:eastAsia="Arial" w:hAnsi="Arial"/>
                <w:sz w:val="13"/>
                <w:szCs w:val="13"/>
                <w:color w:val="auto"/>
              </w:rPr>
              <w:t>(4.2)</w:t>
            </w:r>
          </w:p>
        </w:tc>
        <w:tc>
          <w:tcPr>
            <w:tcW w:w="120" w:type="dxa"/>
            <w:vAlign w:val="bottom"/>
          </w:tcPr>
          <w:p>
            <w:pPr>
              <w:spacing w:after="0"/>
              <w:rPr>
                <w:sz w:val="12"/>
                <w:szCs w:val="12"/>
                <w:color w:val="auto"/>
              </w:rPr>
            </w:pPr>
          </w:p>
        </w:tc>
        <w:tc>
          <w:tcPr>
            <w:tcW w:w="780" w:type="dxa"/>
            <w:vAlign w:val="bottom"/>
            <w:gridSpan w:val="2"/>
          </w:tcPr>
          <w:p>
            <w:pPr>
              <w:jc w:val="right"/>
              <w:ind w:right="142"/>
              <w:spacing w:after="0" w:line="147" w:lineRule="exact"/>
              <w:rPr>
                <w:sz w:val="20"/>
                <w:szCs w:val="20"/>
                <w:color w:val="auto"/>
              </w:rPr>
            </w:pPr>
            <w:r>
              <w:rPr>
                <w:rFonts w:ascii="Arial" w:cs="Arial" w:eastAsia="Arial" w:hAnsi="Arial"/>
                <w:sz w:val="13"/>
                <w:szCs w:val="13"/>
                <w:color w:val="auto"/>
              </w:rPr>
              <w:t>(5.2)</w:t>
            </w:r>
          </w:p>
        </w:tc>
        <w:tc>
          <w:tcPr>
            <w:tcW w:w="700" w:type="dxa"/>
            <w:vAlign w:val="bottom"/>
            <w:gridSpan w:val="2"/>
          </w:tcPr>
          <w:p>
            <w:pPr>
              <w:jc w:val="right"/>
              <w:ind w:right="40"/>
              <w:spacing w:after="0" w:line="147" w:lineRule="exact"/>
              <w:rPr>
                <w:sz w:val="20"/>
                <w:szCs w:val="20"/>
                <w:color w:val="auto"/>
              </w:rPr>
            </w:pPr>
            <w:r>
              <w:rPr>
                <w:rFonts w:ascii="Arial" w:cs="Arial" w:eastAsia="Arial" w:hAnsi="Arial"/>
                <w:sz w:val="13"/>
                <w:szCs w:val="13"/>
                <w:color w:val="auto"/>
              </w:rPr>
              <w:t>19%</w:t>
            </w:r>
          </w:p>
        </w:tc>
      </w:tr>
      <w:tr>
        <w:trPr>
          <w:trHeight w:val="139"/>
        </w:trPr>
        <w:tc>
          <w:tcPr>
            <w:tcW w:w="4480" w:type="dxa"/>
            <w:vAlign w:val="bottom"/>
            <w:tcBorders>
              <w:top w:val="single" w:sz="8" w:color="CCEEFF"/>
              <w:bottom w:val="single" w:sz="8" w:color="CCEEFF"/>
            </w:tcBorders>
            <w:gridSpan w:val="2"/>
            <w:shd w:val="clear" w:color="auto" w:fill="CCEEFF"/>
          </w:tcPr>
          <w:p>
            <w:pPr>
              <w:spacing w:after="0" w:line="139" w:lineRule="exact"/>
              <w:rPr>
                <w:sz w:val="20"/>
                <w:szCs w:val="20"/>
                <w:color w:val="auto"/>
              </w:rPr>
            </w:pPr>
            <w:r>
              <w:rPr>
                <w:rFonts w:ascii="Arial" w:cs="Arial" w:eastAsia="Arial" w:hAnsi="Arial"/>
                <w:sz w:val="13"/>
                <w:szCs w:val="13"/>
                <w:b w:val="1"/>
                <w:bCs w:val="1"/>
                <w:color w:val="auto"/>
              </w:rPr>
              <w:t>Loss for the segment</w:t>
            </w:r>
          </w:p>
        </w:tc>
        <w:tc>
          <w:tcPr>
            <w:tcW w:w="12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rPr>
              <w:t>(2.0</w:t>
            </w:r>
          </w:p>
        </w:tc>
        <w:tc>
          <w:tcPr>
            <w:tcW w:w="220" w:type="dxa"/>
            <w:vAlign w:val="bottom"/>
            <w:tcBorders>
              <w:top w:val="single" w:sz="8" w:color="CCEEFF"/>
              <w:bottom w:val="single" w:sz="8" w:color="CCEEFF"/>
            </w:tcBorders>
            <w:shd w:val="clear" w:color="auto" w:fill="CCEEFF"/>
          </w:tcPr>
          <w:p>
            <w:pPr>
              <w:jc w:val="right"/>
              <w:ind w:right="142"/>
              <w:spacing w:after="0"/>
              <w:rPr>
                <w:sz w:val="20"/>
                <w:szCs w:val="20"/>
                <w:color w:val="auto"/>
              </w:rPr>
            </w:pPr>
            <w:r>
              <w:rPr>
                <w:rFonts w:ascii="Arial" w:cs="Arial" w:eastAsia="Arial" w:hAnsi="Arial"/>
                <w:sz w:val="8"/>
                <w:szCs w:val="8"/>
                <w:b w:val="1"/>
                <w:bCs w:val="1"/>
                <w:color w:val="auto"/>
                <w:w w:val="73"/>
              </w:rPr>
              <w:t>)</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rPr>
              <w:t>(2.1</w:t>
            </w:r>
          </w:p>
        </w:tc>
        <w:tc>
          <w:tcPr>
            <w:tcW w:w="120" w:type="dxa"/>
            <w:vAlign w:val="bottom"/>
            <w:tcBorders>
              <w:top w:val="single" w:sz="8" w:color="CCEEFF"/>
              <w:bottom w:val="single" w:sz="8" w:color="CCEEFF"/>
            </w:tcBorders>
            <w:shd w:val="clear" w:color="auto" w:fill="CCEEFF"/>
          </w:tcPr>
          <w:p>
            <w:pPr>
              <w:jc w:val="right"/>
              <w:ind w:right="42"/>
              <w:spacing w:after="0"/>
              <w:rPr>
                <w:sz w:val="20"/>
                <w:szCs w:val="20"/>
                <w:color w:val="auto"/>
              </w:rPr>
            </w:pPr>
            <w:r>
              <w:rPr>
                <w:rFonts w:ascii="Arial" w:cs="Arial" w:eastAsia="Arial" w:hAnsi="Arial"/>
                <w:sz w:val="8"/>
                <w:szCs w:val="8"/>
                <w:b w:val="1"/>
                <w:bCs w:val="1"/>
                <w:color w:val="auto"/>
                <w:w w:val="73"/>
              </w:rPr>
              <w:t>)</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rPr>
              <w:t>(2.2</w:t>
            </w:r>
          </w:p>
        </w:tc>
        <w:tc>
          <w:tcPr>
            <w:tcW w:w="220" w:type="dxa"/>
            <w:vAlign w:val="bottom"/>
            <w:tcBorders>
              <w:top w:val="single" w:sz="8" w:color="CCEEFF"/>
              <w:bottom w:val="single" w:sz="8" w:color="CCEEFF"/>
            </w:tcBorders>
            <w:shd w:val="clear" w:color="auto" w:fill="CCEEFF"/>
          </w:tcPr>
          <w:p>
            <w:pPr>
              <w:jc w:val="right"/>
              <w:ind w:right="142"/>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top w:val="single" w:sz="8" w:color="CCEEFF"/>
              <w:bottom w:val="single" w:sz="8" w:color="CCEEFF"/>
            </w:tcBorders>
            <w:gridSpan w:val="2"/>
            <w:shd w:val="clear" w:color="auto" w:fill="CCEEFF"/>
          </w:tcPr>
          <w:p>
            <w:pPr>
              <w:jc w:val="right"/>
              <w:ind w:right="100"/>
              <w:spacing w:after="0" w:line="138" w:lineRule="exact"/>
              <w:rPr>
                <w:sz w:val="20"/>
                <w:szCs w:val="20"/>
                <w:color w:val="auto"/>
              </w:rPr>
            </w:pPr>
            <w:r>
              <w:rPr>
                <w:rFonts w:ascii="Arial" w:cs="Arial" w:eastAsia="Arial" w:hAnsi="Arial"/>
                <w:sz w:val="10"/>
                <w:szCs w:val="10"/>
                <w:b w:val="1"/>
                <w:bCs w:val="1"/>
                <w:color w:val="auto"/>
              </w:rPr>
              <w:t>5</w:t>
            </w:r>
            <w:r>
              <w:rPr>
                <w:rFonts w:ascii="Arial" w:cs="Arial" w:eastAsia="Arial" w:hAnsi="Arial"/>
                <w:sz w:val="16"/>
                <w:szCs w:val="16"/>
                <w:b w:val="1"/>
                <w:bCs w:val="1"/>
                <w:color w:val="auto"/>
                <w:vertAlign w:val="superscript"/>
              </w:rPr>
              <w:t>%</w:t>
            </w:r>
          </w:p>
        </w:tc>
        <w:tc>
          <w:tcPr>
            <w:tcW w:w="760" w:type="dxa"/>
            <w:vAlign w:val="bottom"/>
            <w:tcBorders>
              <w:top w:val="single" w:sz="8" w:color="CCEEFF"/>
              <w:bottom w:val="single" w:sz="8" w:color="CCEEFF"/>
            </w:tcBorders>
            <w:gridSpan w:val="2"/>
            <w:shd w:val="clear" w:color="auto" w:fill="CCEEFF"/>
          </w:tcPr>
          <w:p>
            <w:pPr>
              <w:jc w:val="right"/>
              <w:ind w:right="60"/>
              <w:spacing w:after="0" w:line="138" w:lineRule="exact"/>
              <w:rPr>
                <w:sz w:val="20"/>
                <w:szCs w:val="20"/>
                <w:color w:val="auto"/>
              </w:rPr>
            </w:pPr>
            <w:r>
              <w:rPr>
                <w:rFonts w:ascii="Arial" w:cs="Arial" w:eastAsia="Arial" w:hAnsi="Arial"/>
                <w:sz w:val="10"/>
                <w:szCs w:val="10"/>
                <w:b w:val="1"/>
                <w:bCs w:val="1"/>
                <w:color w:val="auto"/>
              </w:rPr>
              <w:t>12</w:t>
            </w:r>
            <w:r>
              <w:rPr>
                <w:rFonts w:ascii="Arial" w:cs="Arial" w:eastAsia="Arial" w:hAnsi="Arial"/>
                <w:sz w:val="16"/>
                <w:szCs w:val="16"/>
                <w:b w:val="1"/>
                <w:bCs w:val="1"/>
                <w:color w:val="auto"/>
                <w:vertAlign w:val="superscript"/>
              </w:rPr>
              <w:t>%</w:t>
            </w:r>
          </w:p>
        </w:tc>
        <w:tc>
          <w:tcPr>
            <w:tcW w:w="6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rPr>
              <w:t>(4.0</w:t>
            </w:r>
          </w:p>
        </w:tc>
        <w:tc>
          <w:tcPr>
            <w:tcW w:w="220" w:type="dxa"/>
            <w:vAlign w:val="bottom"/>
            <w:tcBorders>
              <w:top w:val="single" w:sz="8" w:color="CCEEFF"/>
              <w:bottom w:val="single" w:sz="8" w:color="CCEEFF"/>
            </w:tcBorders>
            <w:shd w:val="clear" w:color="auto" w:fill="CCEEFF"/>
          </w:tcPr>
          <w:p>
            <w:pPr>
              <w:jc w:val="right"/>
              <w:ind w:right="142"/>
              <w:spacing w:after="0"/>
              <w:rPr>
                <w:sz w:val="20"/>
                <w:szCs w:val="20"/>
                <w:color w:val="auto"/>
              </w:rPr>
            </w:pPr>
            <w:r>
              <w:rPr>
                <w:rFonts w:ascii="Arial" w:cs="Arial" w:eastAsia="Arial" w:hAnsi="Arial"/>
                <w:sz w:val="8"/>
                <w:szCs w:val="8"/>
                <w:b w:val="1"/>
                <w:bCs w:val="1"/>
                <w:color w:val="auto"/>
                <w:w w:val="73"/>
              </w:rPr>
              <w:t>)</w:t>
            </w:r>
          </w:p>
        </w:tc>
        <w:tc>
          <w:tcPr>
            <w:tcW w:w="120" w:type="dxa"/>
            <w:vAlign w:val="bottom"/>
            <w:tcBorders>
              <w:top w:val="single" w:sz="8" w:color="auto"/>
              <w:bottom w:val="single" w:sz="8" w:color="auto"/>
            </w:tcBorders>
            <w:shd w:val="clear" w:color="auto" w:fill="CCEEFF"/>
          </w:tcPr>
          <w:p>
            <w:pPr>
              <w:jc w:val="right"/>
              <w:ind w:right="11"/>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b w:val="1"/>
                <w:bCs w:val="1"/>
                <w:color w:val="auto"/>
              </w:rPr>
              <w:t>(4.8</w:t>
            </w:r>
          </w:p>
        </w:tc>
        <w:tc>
          <w:tcPr>
            <w:tcW w:w="220" w:type="dxa"/>
            <w:vAlign w:val="bottom"/>
            <w:tcBorders>
              <w:top w:val="single" w:sz="8" w:color="CCEEFF"/>
              <w:bottom w:val="single" w:sz="8" w:color="CCEEFF"/>
            </w:tcBorders>
            <w:shd w:val="clear" w:color="auto" w:fill="CCEEFF"/>
          </w:tcPr>
          <w:p>
            <w:pPr>
              <w:jc w:val="right"/>
              <w:ind w:right="142"/>
              <w:spacing w:after="0"/>
              <w:rPr>
                <w:sz w:val="20"/>
                <w:szCs w:val="20"/>
                <w:color w:val="auto"/>
              </w:rPr>
            </w:pPr>
            <w:r>
              <w:rPr>
                <w:rFonts w:ascii="Arial" w:cs="Arial" w:eastAsia="Arial" w:hAnsi="Arial"/>
                <w:sz w:val="8"/>
                <w:szCs w:val="8"/>
                <w:b w:val="1"/>
                <w:bCs w:val="1"/>
                <w:color w:val="auto"/>
                <w:w w:val="73"/>
              </w:rPr>
              <w:t>)</w:t>
            </w:r>
          </w:p>
        </w:tc>
        <w:tc>
          <w:tcPr>
            <w:tcW w:w="700" w:type="dxa"/>
            <w:vAlign w:val="bottom"/>
            <w:tcBorders>
              <w:top w:val="single" w:sz="8" w:color="CCEEFF"/>
              <w:bottom w:val="single" w:sz="8" w:color="CCEEFF"/>
            </w:tcBorders>
            <w:gridSpan w:val="2"/>
            <w:shd w:val="clear" w:color="auto" w:fill="CCEEFF"/>
          </w:tcPr>
          <w:p>
            <w:pPr>
              <w:jc w:val="right"/>
              <w:ind w:right="20"/>
              <w:spacing w:after="0" w:line="138" w:lineRule="exact"/>
              <w:rPr>
                <w:sz w:val="20"/>
                <w:szCs w:val="20"/>
                <w:color w:val="auto"/>
              </w:rPr>
            </w:pPr>
            <w:r>
              <w:rPr>
                <w:rFonts w:ascii="Arial" w:cs="Arial" w:eastAsia="Arial" w:hAnsi="Arial"/>
                <w:sz w:val="10"/>
                <w:szCs w:val="10"/>
                <w:b w:val="1"/>
                <w:bCs w:val="1"/>
                <w:color w:val="auto"/>
              </w:rPr>
              <w:t>16</w:t>
            </w:r>
            <w:r>
              <w:rPr>
                <w:rFonts w:ascii="Arial" w:cs="Arial" w:eastAsia="Arial" w:hAnsi="Arial"/>
                <w:sz w:val="16"/>
                <w:szCs w:val="16"/>
                <w:b w:val="1"/>
                <w:bCs w:val="1"/>
                <w:color w:val="auto"/>
                <w:vertAlign w:val="superscript"/>
              </w:rPr>
              <w:t>%</w:t>
            </w:r>
          </w:p>
        </w:tc>
      </w:tr>
      <w:tr>
        <w:trPr>
          <w:trHeight w:val="20"/>
        </w:trPr>
        <w:tc>
          <w:tcPr>
            <w:tcW w:w="4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7" w:lineRule="exact"/>
        <w:rPr>
          <w:sz w:val="20"/>
          <w:szCs w:val="20"/>
          <w:color w:val="auto"/>
        </w:rPr>
      </w:pPr>
    </w:p>
    <w:p>
      <w:pPr>
        <w:spacing w:after="0"/>
        <w:rPr>
          <w:sz w:val="20"/>
          <w:szCs w:val="20"/>
          <w:color w:val="auto"/>
        </w:rPr>
      </w:pPr>
      <w:r>
        <w:rPr>
          <w:rFonts w:ascii="Arial" w:cs="Arial" w:eastAsia="Arial" w:hAnsi="Arial"/>
          <w:sz w:val="16"/>
          <w:szCs w:val="16"/>
          <w:color w:val="auto"/>
        </w:rPr>
        <w:t>"n.m." means not meaningful.</w:t>
      </w:r>
    </w:p>
    <w:p>
      <w:pPr>
        <w:spacing w:after="0" w:line="207" w:lineRule="exact"/>
        <w:rPr>
          <w:sz w:val="20"/>
          <w:szCs w:val="20"/>
          <w:color w:val="auto"/>
        </w:rPr>
      </w:pPr>
    </w:p>
    <w:p>
      <w:pPr>
        <w:jc w:val="both"/>
        <w:ind w:right="80"/>
        <w:spacing w:after="0" w:line="295" w:lineRule="auto"/>
        <w:rPr>
          <w:sz w:val="20"/>
          <w:szCs w:val="20"/>
          <w:color w:val="auto"/>
        </w:rPr>
      </w:pPr>
      <w:r>
        <w:rPr>
          <w:rFonts w:ascii="Arial" w:cs="Arial" w:eastAsia="Arial" w:hAnsi="Arial"/>
          <w:sz w:val="15"/>
          <w:szCs w:val="15"/>
          <w:color w:val="auto"/>
        </w:rPr>
        <w:t>The Treasury Business Segment’s results were a $2.0 million loss for 2Q21 (+5% QoQ; +12% YoY) and a $4.0 million loss for the first 6M21 (+16% YoY). The quarterly and year-to-date improvements were mainly associated to better results on its hedging positions recorded in Other Income (Expense), along with the positive impact on NII of increased bond portfolio driving higher yields, together with lower funding costs, partly compensating the impact of lower market rates on Treasury assets.</w:t>
      </w:r>
    </w:p>
    <w:p>
      <w:pPr>
        <w:spacing w:after="0" w:line="141"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NET INTEREST INCOME AND MARGINS</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040" w:type="dxa"/>
            <w:vAlign w:val="bottom"/>
            <w:gridSpan w:val="2"/>
          </w:tcPr>
          <w:p>
            <w:pPr>
              <w:spacing w:after="0"/>
              <w:rPr>
                <w:sz w:val="20"/>
                <w:szCs w:val="20"/>
                <w:color w:val="auto"/>
              </w:rPr>
            </w:pPr>
            <w:r>
              <w:rPr>
                <w:rFonts w:ascii="Arial" w:cs="Arial" w:eastAsia="Arial" w:hAnsi="Arial"/>
                <w:sz w:val="13"/>
                <w:szCs w:val="13"/>
                <w:color w:val="auto"/>
              </w:rPr>
              <w:t>(US$ million, except percentages)</w:t>
            </w:r>
          </w:p>
        </w:tc>
        <w:tc>
          <w:tcPr>
            <w:tcW w:w="100" w:type="dxa"/>
            <w:vAlign w:val="bottom"/>
          </w:tcPr>
          <w:p>
            <w:pPr>
              <w:spacing w:after="0"/>
              <w:rPr>
                <w:sz w:val="14"/>
                <w:szCs w:val="14"/>
                <w:color w:val="auto"/>
              </w:rPr>
            </w:pPr>
          </w:p>
        </w:tc>
        <w:tc>
          <w:tcPr>
            <w:tcW w:w="8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2Q21</w:t>
            </w:r>
          </w:p>
        </w:tc>
        <w:tc>
          <w:tcPr>
            <w:tcW w:w="100" w:type="dxa"/>
            <w:vAlign w:val="bottom"/>
          </w:tcPr>
          <w:p>
            <w:pPr>
              <w:spacing w:after="0"/>
              <w:rPr>
                <w:sz w:val="14"/>
                <w:szCs w:val="14"/>
                <w:color w:val="auto"/>
              </w:rPr>
            </w:pPr>
          </w:p>
        </w:tc>
        <w:tc>
          <w:tcPr>
            <w:tcW w:w="76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rPr>
              <w:t>1Q21</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2Q20</w:t>
            </w:r>
          </w:p>
        </w:tc>
        <w:tc>
          <w:tcPr>
            <w:tcW w:w="90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9"/>
              </w:rPr>
              <w:t>QoQ (%)</w:t>
            </w:r>
          </w:p>
        </w:tc>
        <w:tc>
          <w:tcPr>
            <w:tcW w:w="82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rPr>
              <w:t>YoY (%)</w:t>
            </w:r>
          </w:p>
        </w:tc>
        <w:tc>
          <w:tcPr>
            <w:tcW w:w="100" w:type="dxa"/>
            <w:vAlign w:val="bottom"/>
          </w:tcPr>
          <w:p>
            <w:pPr>
              <w:spacing w:after="0"/>
              <w:rPr>
                <w:sz w:val="14"/>
                <w:szCs w:val="14"/>
                <w:color w:val="auto"/>
              </w:rPr>
            </w:pPr>
          </w:p>
        </w:tc>
        <w:tc>
          <w:tcPr>
            <w:tcW w:w="80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rPr>
              <w:t>6M21</w:t>
            </w:r>
          </w:p>
        </w:tc>
        <w:tc>
          <w:tcPr>
            <w:tcW w:w="120" w:type="dxa"/>
            <w:vAlign w:val="bottom"/>
          </w:tcPr>
          <w:p>
            <w:pPr>
              <w:spacing w:after="0"/>
              <w:rPr>
                <w:sz w:val="14"/>
                <w:szCs w:val="14"/>
                <w:color w:val="auto"/>
              </w:rPr>
            </w:pPr>
          </w:p>
        </w:tc>
        <w:tc>
          <w:tcPr>
            <w:tcW w:w="92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6M20</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rPr>
              <w:t>YoY (%)</w:t>
            </w:r>
          </w:p>
        </w:tc>
      </w:tr>
      <w:tr>
        <w:trPr>
          <w:trHeight w:val="126"/>
        </w:trPr>
        <w:tc>
          <w:tcPr>
            <w:tcW w:w="3920" w:type="dxa"/>
            <w:vAlign w:val="bottom"/>
            <w:tcBorders>
              <w:top w:val="single" w:sz="8" w:color="auto"/>
            </w:tcBorders>
            <w:shd w:val="clear" w:color="auto" w:fill="CCEEFF"/>
          </w:tcPr>
          <w:p>
            <w:pPr>
              <w:spacing w:after="0" w:line="127" w:lineRule="exact"/>
              <w:rPr>
                <w:sz w:val="20"/>
                <w:szCs w:val="20"/>
                <w:color w:val="auto"/>
              </w:rPr>
            </w:pPr>
            <w:r>
              <w:rPr>
                <w:rFonts w:ascii="Arial" w:cs="Arial" w:eastAsia="Arial" w:hAnsi="Arial"/>
                <w:sz w:val="13"/>
                <w:szCs w:val="13"/>
                <w:b w:val="1"/>
                <w:bCs w:val="1"/>
                <w:color w:val="auto"/>
              </w:rPr>
              <w:t>Net Interest Income</w:t>
            </w: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3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3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3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r>
      <w:tr>
        <w:trPr>
          <w:trHeight w:val="134"/>
        </w:trPr>
        <w:tc>
          <w:tcPr>
            <w:tcW w:w="4040" w:type="dxa"/>
            <w:vAlign w:val="bottom"/>
            <w:gridSpan w:val="2"/>
          </w:tcPr>
          <w:p>
            <w:pPr>
              <w:ind w:left="140"/>
              <w:spacing w:after="0" w:line="134" w:lineRule="exact"/>
              <w:rPr>
                <w:sz w:val="20"/>
                <w:szCs w:val="20"/>
                <w:color w:val="auto"/>
              </w:rPr>
            </w:pPr>
            <w:r>
              <w:rPr>
                <w:rFonts w:ascii="Arial" w:cs="Arial" w:eastAsia="Arial" w:hAnsi="Arial"/>
                <w:sz w:val="13"/>
                <w:szCs w:val="13"/>
                <w:color w:val="auto"/>
              </w:rPr>
              <w:t>Interest income</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ind w:right="260"/>
              <w:spacing w:after="0" w:line="134" w:lineRule="exact"/>
              <w:rPr>
                <w:sz w:val="20"/>
                <w:szCs w:val="20"/>
                <w:color w:val="auto"/>
              </w:rPr>
            </w:pPr>
            <w:r>
              <w:rPr>
                <w:rFonts w:ascii="Arial" w:cs="Arial" w:eastAsia="Arial" w:hAnsi="Arial"/>
                <w:sz w:val="13"/>
                <w:szCs w:val="13"/>
                <w:color w:val="auto"/>
              </w:rPr>
              <w:t>34.2</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00"/>
              <w:spacing w:after="0" w:line="134" w:lineRule="exact"/>
              <w:rPr>
                <w:sz w:val="20"/>
                <w:szCs w:val="20"/>
                <w:color w:val="auto"/>
              </w:rPr>
            </w:pPr>
            <w:r>
              <w:rPr>
                <w:rFonts w:ascii="Arial" w:cs="Arial" w:eastAsia="Arial" w:hAnsi="Arial"/>
                <w:sz w:val="13"/>
                <w:szCs w:val="13"/>
                <w:color w:val="auto"/>
              </w:rPr>
              <w:t>32.9</w:t>
            </w:r>
          </w:p>
        </w:tc>
        <w:tc>
          <w:tcPr>
            <w:tcW w:w="16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360"/>
              <w:spacing w:after="0" w:line="134" w:lineRule="exact"/>
              <w:rPr>
                <w:sz w:val="20"/>
                <w:szCs w:val="20"/>
                <w:color w:val="auto"/>
              </w:rPr>
            </w:pPr>
            <w:r>
              <w:rPr>
                <w:rFonts w:ascii="Arial" w:cs="Arial" w:eastAsia="Arial" w:hAnsi="Arial"/>
                <w:sz w:val="13"/>
                <w:szCs w:val="13"/>
                <w:color w:val="auto"/>
              </w:rPr>
              <w:t>44.5</w:t>
            </w:r>
          </w:p>
        </w:tc>
        <w:tc>
          <w:tcPr>
            <w:tcW w:w="900" w:type="dxa"/>
            <w:vAlign w:val="bottom"/>
            <w:gridSpan w:val="2"/>
          </w:tcPr>
          <w:p>
            <w:pPr>
              <w:jc w:val="right"/>
              <w:ind w:right="240"/>
              <w:spacing w:after="0" w:line="134" w:lineRule="exact"/>
              <w:rPr>
                <w:sz w:val="20"/>
                <w:szCs w:val="20"/>
                <w:color w:val="auto"/>
              </w:rPr>
            </w:pPr>
            <w:r>
              <w:rPr>
                <w:rFonts w:ascii="Arial" w:cs="Arial" w:eastAsia="Arial" w:hAnsi="Arial"/>
                <w:sz w:val="13"/>
                <w:szCs w:val="13"/>
                <w:color w:val="auto"/>
              </w:rPr>
              <w:t>4%</w:t>
            </w:r>
          </w:p>
        </w:tc>
        <w:tc>
          <w:tcPr>
            <w:tcW w:w="820" w:type="dxa"/>
            <w:vAlign w:val="bottom"/>
            <w:gridSpan w:val="2"/>
          </w:tcPr>
          <w:p>
            <w:pPr>
              <w:jc w:val="right"/>
              <w:ind w:right="140"/>
              <w:spacing w:after="0" w:line="134" w:lineRule="exact"/>
              <w:rPr>
                <w:sz w:val="20"/>
                <w:szCs w:val="20"/>
                <w:color w:val="auto"/>
              </w:rPr>
            </w:pPr>
            <w:r>
              <w:rPr>
                <w:rFonts w:ascii="Arial" w:cs="Arial" w:eastAsia="Arial" w:hAnsi="Arial"/>
                <w:sz w:val="13"/>
                <w:szCs w:val="13"/>
                <w:color w:val="auto"/>
              </w:rPr>
              <w:t>-23%</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40"/>
              <w:spacing w:after="0" w:line="134" w:lineRule="exact"/>
              <w:rPr>
                <w:sz w:val="20"/>
                <w:szCs w:val="20"/>
                <w:color w:val="auto"/>
              </w:rPr>
            </w:pPr>
            <w:r>
              <w:rPr>
                <w:rFonts w:ascii="Arial" w:cs="Arial" w:eastAsia="Arial" w:hAnsi="Arial"/>
                <w:sz w:val="13"/>
                <w:szCs w:val="13"/>
                <w:color w:val="auto"/>
              </w:rPr>
              <w:t>67.1</w:t>
            </w:r>
          </w:p>
        </w:tc>
        <w:tc>
          <w:tcPr>
            <w:tcW w:w="120" w:type="dxa"/>
            <w:vAlign w:val="bottom"/>
          </w:tcPr>
          <w:p>
            <w:pPr>
              <w:jc w:val="right"/>
              <w:spacing w:after="0" w:line="134" w:lineRule="exact"/>
              <w:rPr>
                <w:sz w:val="20"/>
                <w:szCs w:val="20"/>
                <w:color w:val="auto"/>
              </w:rPr>
            </w:pPr>
            <w:r>
              <w:rPr>
                <w:rFonts w:ascii="Arial" w:cs="Arial" w:eastAsia="Arial" w:hAnsi="Arial"/>
                <w:sz w:val="13"/>
                <w:szCs w:val="13"/>
                <w:color w:val="auto"/>
                <w:w w:val="82"/>
              </w:rPr>
              <w:t>$</w:t>
            </w:r>
          </w:p>
        </w:tc>
        <w:tc>
          <w:tcPr>
            <w:tcW w:w="920" w:type="dxa"/>
            <w:vAlign w:val="bottom"/>
            <w:gridSpan w:val="2"/>
          </w:tcPr>
          <w:p>
            <w:pPr>
              <w:jc w:val="right"/>
              <w:ind w:right="360"/>
              <w:spacing w:after="0" w:line="134" w:lineRule="exact"/>
              <w:rPr>
                <w:sz w:val="20"/>
                <w:szCs w:val="20"/>
                <w:color w:val="auto"/>
              </w:rPr>
            </w:pPr>
            <w:r>
              <w:rPr>
                <w:rFonts w:ascii="Arial" w:cs="Arial" w:eastAsia="Arial" w:hAnsi="Arial"/>
                <w:sz w:val="13"/>
                <w:szCs w:val="13"/>
                <w:color w:val="auto"/>
              </w:rPr>
              <w:t>103.5</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3"/>
                <w:szCs w:val="13"/>
                <w:color w:val="auto"/>
              </w:rPr>
              <w:t>-35%</w:t>
            </w:r>
          </w:p>
        </w:tc>
      </w:tr>
      <w:tr>
        <w:trPr>
          <w:trHeight w:val="146"/>
        </w:trPr>
        <w:tc>
          <w:tcPr>
            <w:tcW w:w="4040" w:type="dxa"/>
            <w:vAlign w:val="bottom"/>
            <w:gridSpan w:val="2"/>
            <w:shd w:val="clear" w:color="auto" w:fill="CCEEFF"/>
          </w:tcPr>
          <w:p>
            <w:pPr>
              <w:ind w:left="140"/>
              <w:spacing w:after="0" w:line="147" w:lineRule="exact"/>
              <w:rPr>
                <w:sz w:val="20"/>
                <w:szCs w:val="20"/>
                <w:color w:val="auto"/>
              </w:rPr>
            </w:pPr>
            <w:r>
              <w:rPr>
                <w:rFonts w:ascii="Arial" w:cs="Arial" w:eastAsia="Arial" w:hAnsi="Arial"/>
                <w:sz w:val="13"/>
                <w:szCs w:val="13"/>
                <w:color w:val="auto"/>
              </w:rPr>
              <w:t>Interest expense</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3"/>
                <w:szCs w:val="13"/>
                <w:color w:val="auto"/>
              </w:rPr>
              <w:t>(13.2)</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3"/>
                <w:szCs w:val="13"/>
                <w:color w:val="auto"/>
              </w:rPr>
              <w:t>(14.0)</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320"/>
              <w:spacing w:after="0" w:line="147" w:lineRule="exact"/>
              <w:rPr>
                <w:sz w:val="20"/>
                <w:szCs w:val="20"/>
                <w:color w:val="auto"/>
              </w:rPr>
            </w:pPr>
            <w:r>
              <w:rPr>
                <w:rFonts w:ascii="Arial" w:cs="Arial" w:eastAsia="Arial" w:hAnsi="Arial"/>
                <w:sz w:val="13"/>
                <w:szCs w:val="13"/>
                <w:color w:val="auto"/>
              </w:rPr>
              <w:t>(22.8)</w:t>
            </w:r>
          </w:p>
        </w:tc>
        <w:tc>
          <w:tcPr>
            <w:tcW w:w="90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3"/>
                <w:szCs w:val="13"/>
                <w:color w:val="auto"/>
              </w:rPr>
              <w:t>6%</w:t>
            </w:r>
          </w:p>
        </w:tc>
        <w:tc>
          <w:tcPr>
            <w:tcW w:w="82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3"/>
                <w:szCs w:val="13"/>
                <w:color w:val="auto"/>
              </w:rPr>
              <w:t>42%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3"/>
                <w:szCs w:val="13"/>
                <w:color w:val="auto"/>
              </w:rPr>
              <w:t>(27.2)</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320"/>
              <w:spacing w:after="0" w:line="147" w:lineRule="exact"/>
              <w:rPr>
                <w:sz w:val="20"/>
                <w:szCs w:val="20"/>
                <w:color w:val="auto"/>
              </w:rPr>
            </w:pPr>
            <w:r>
              <w:rPr>
                <w:rFonts w:ascii="Arial" w:cs="Arial" w:eastAsia="Arial" w:hAnsi="Arial"/>
                <w:sz w:val="13"/>
                <w:szCs w:val="13"/>
                <w:color w:val="auto"/>
              </w:rPr>
              <w:t>(56.0)</w:t>
            </w:r>
          </w:p>
        </w:tc>
        <w:tc>
          <w:tcPr>
            <w:tcW w:w="70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3"/>
                <w:szCs w:val="13"/>
                <w:color w:val="auto"/>
              </w:rPr>
              <w:t>51%</w:t>
            </w:r>
          </w:p>
        </w:tc>
      </w:tr>
      <w:tr>
        <w:trPr>
          <w:trHeight w:val="179"/>
        </w:trPr>
        <w:tc>
          <w:tcPr>
            <w:tcW w:w="4040" w:type="dxa"/>
            <w:vAlign w:val="bottom"/>
            <w:tcBorders>
              <w:bottom w:val="single" w:sz="8" w:color="CCEEFF"/>
            </w:tcBorders>
            <w:gridSpan w:val="2"/>
          </w:tcPr>
          <w:p>
            <w:pPr>
              <w:spacing w:after="0" w:line="139" w:lineRule="exact"/>
              <w:rPr>
                <w:sz w:val="20"/>
                <w:szCs w:val="20"/>
                <w:color w:val="auto"/>
              </w:rPr>
            </w:pPr>
            <w:r>
              <w:rPr>
                <w:rFonts w:ascii="Arial" w:cs="Arial" w:eastAsia="Arial" w:hAnsi="Arial"/>
                <w:sz w:val="13"/>
                <w:szCs w:val="13"/>
                <w:b w:val="1"/>
                <w:bCs w:val="1"/>
                <w:color w:val="auto"/>
              </w:rPr>
              <w:t>Net Interest Income ("NII")</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21.0</w:t>
            </w:r>
          </w:p>
        </w:tc>
        <w:tc>
          <w:tcPr>
            <w:tcW w:w="260" w:type="dxa"/>
            <w:vAlign w:val="bottom"/>
            <w:tcBorders>
              <w:bottom w:val="single" w:sz="8" w:color="CCEEFF"/>
            </w:tcBorders>
          </w:tcPr>
          <w:p>
            <w:pPr>
              <w:spacing w:after="0"/>
              <w:rPr>
                <w:sz w:val="15"/>
                <w:szCs w:val="15"/>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18.9</w:t>
            </w:r>
          </w:p>
        </w:tc>
        <w:tc>
          <w:tcPr>
            <w:tcW w:w="200" w:type="dxa"/>
            <w:vAlign w:val="bottom"/>
            <w:tcBorders>
              <w:bottom w:val="single" w:sz="8" w:color="CCEEFF"/>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2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21.7</w:t>
            </w:r>
          </w:p>
        </w:tc>
        <w:tc>
          <w:tcPr>
            <w:tcW w:w="360" w:type="dxa"/>
            <w:vAlign w:val="bottom"/>
            <w:tcBorders>
              <w:bottom w:val="single" w:sz="8" w:color="CCEEFF"/>
            </w:tcBorders>
          </w:tcPr>
          <w:p>
            <w:pPr>
              <w:spacing w:after="0"/>
              <w:rPr>
                <w:sz w:val="15"/>
                <w:szCs w:val="15"/>
                <w:color w:val="auto"/>
              </w:rPr>
            </w:pPr>
          </w:p>
        </w:tc>
        <w:tc>
          <w:tcPr>
            <w:tcW w:w="900" w:type="dxa"/>
            <w:vAlign w:val="bottom"/>
            <w:tcBorders>
              <w:bottom w:val="single" w:sz="8" w:color="CCEEFF"/>
            </w:tcBorders>
            <w:gridSpan w:val="2"/>
          </w:tcPr>
          <w:p>
            <w:pPr>
              <w:jc w:val="right"/>
              <w:ind w:right="220"/>
              <w:spacing w:after="0" w:line="138" w:lineRule="exact"/>
              <w:rPr>
                <w:sz w:val="20"/>
                <w:szCs w:val="20"/>
                <w:color w:val="auto"/>
              </w:rPr>
            </w:pPr>
            <w:r>
              <w:rPr>
                <w:rFonts w:ascii="Arial" w:cs="Arial" w:eastAsia="Arial" w:hAnsi="Arial"/>
                <w:sz w:val="10"/>
                <w:szCs w:val="10"/>
                <w:b w:val="1"/>
                <w:bCs w:val="1"/>
                <w:color w:val="auto"/>
              </w:rPr>
              <w:t>11</w:t>
            </w:r>
            <w:r>
              <w:rPr>
                <w:rFonts w:ascii="Arial" w:cs="Arial" w:eastAsia="Arial" w:hAnsi="Arial"/>
                <w:sz w:val="16"/>
                <w:szCs w:val="16"/>
                <w:b w:val="1"/>
                <w:bCs w:val="1"/>
                <w:color w:val="auto"/>
                <w:vertAlign w:val="superscript"/>
              </w:rPr>
              <w:t>%</w:t>
            </w:r>
          </w:p>
        </w:tc>
        <w:tc>
          <w:tcPr>
            <w:tcW w:w="820" w:type="dxa"/>
            <w:vAlign w:val="bottom"/>
            <w:tcBorders>
              <w:bottom w:val="single" w:sz="8" w:color="CCEEFF"/>
            </w:tcBorders>
            <w:gridSpan w:val="2"/>
          </w:tcPr>
          <w:p>
            <w:pPr>
              <w:jc w:val="right"/>
              <w:ind w:right="120"/>
              <w:spacing w:after="0" w:line="138" w:lineRule="exact"/>
              <w:rPr>
                <w:sz w:val="20"/>
                <w:szCs w:val="20"/>
                <w:color w:val="auto"/>
              </w:rPr>
            </w:pPr>
            <w:r>
              <w:rPr>
                <w:rFonts w:ascii="Arial" w:cs="Arial" w:eastAsia="Arial" w:hAnsi="Arial"/>
                <w:sz w:val="10"/>
                <w:szCs w:val="10"/>
                <w:b w:val="1"/>
                <w:bCs w:val="1"/>
                <w:color w:val="auto"/>
              </w:rPr>
              <w:t>-3</w:t>
            </w:r>
            <w:r>
              <w:rPr>
                <w:rFonts w:ascii="Arial" w:cs="Arial" w:eastAsia="Arial" w:hAnsi="Arial"/>
                <w:sz w:val="16"/>
                <w:szCs w:val="16"/>
                <w:b w:val="1"/>
                <w:bCs w:val="1"/>
                <w:color w:val="auto"/>
                <w:vertAlign w:val="superscript"/>
              </w:rPr>
              <w:t>%</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39.9</w:t>
            </w:r>
          </w:p>
        </w:tc>
        <w:tc>
          <w:tcPr>
            <w:tcW w:w="240" w:type="dxa"/>
            <w:vAlign w:val="bottom"/>
            <w:tcBorders>
              <w:bottom w:val="single" w:sz="8" w:color="CCEEFF"/>
            </w:tcBorders>
          </w:tcPr>
          <w:p>
            <w:pPr>
              <w:spacing w:after="0"/>
              <w:rPr>
                <w:sz w:val="15"/>
                <w:szCs w:val="15"/>
                <w:color w:val="auto"/>
              </w:rPr>
            </w:pPr>
          </w:p>
        </w:tc>
        <w:tc>
          <w:tcPr>
            <w:tcW w:w="12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39" w:lineRule="exact"/>
              <w:rPr>
                <w:sz w:val="20"/>
                <w:szCs w:val="20"/>
                <w:color w:val="auto"/>
              </w:rPr>
            </w:pPr>
            <w:r>
              <w:rPr>
                <w:rFonts w:ascii="Arial" w:cs="Arial" w:eastAsia="Arial" w:hAnsi="Arial"/>
                <w:sz w:val="13"/>
                <w:szCs w:val="13"/>
                <w:b w:val="1"/>
                <w:bCs w:val="1"/>
                <w:color w:val="auto"/>
              </w:rPr>
              <w:t>47.5</w:t>
            </w:r>
          </w:p>
        </w:tc>
        <w:tc>
          <w:tcPr>
            <w:tcW w:w="36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gridSpan w:val="2"/>
          </w:tcPr>
          <w:p>
            <w:pPr>
              <w:jc w:val="right"/>
              <w:ind w:right="20"/>
              <w:spacing w:after="0" w:line="138" w:lineRule="exact"/>
              <w:rPr>
                <w:sz w:val="20"/>
                <w:szCs w:val="20"/>
                <w:color w:val="auto"/>
              </w:rPr>
            </w:pPr>
            <w:r>
              <w:rPr>
                <w:rFonts w:ascii="Arial" w:cs="Arial" w:eastAsia="Arial" w:hAnsi="Arial"/>
                <w:sz w:val="10"/>
                <w:szCs w:val="10"/>
                <w:b w:val="1"/>
                <w:bCs w:val="1"/>
                <w:color w:val="auto"/>
              </w:rPr>
              <w:t>-16</w:t>
            </w:r>
            <w:r>
              <w:rPr>
                <w:rFonts w:ascii="Arial" w:cs="Arial" w:eastAsia="Arial" w:hAnsi="Arial"/>
                <w:sz w:val="16"/>
                <w:szCs w:val="16"/>
                <w:b w:val="1"/>
                <w:bCs w:val="1"/>
                <w:color w:val="auto"/>
                <w:vertAlign w:val="superscript"/>
              </w:rPr>
              <w:t>%</w:t>
            </w:r>
          </w:p>
        </w:tc>
      </w:tr>
      <w:tr>
        <w:trPr>
          <w:trHeight w:val="111"/>
        </w:trPr>
        <w:tc>
          <w:tcPr>
            <w:tcW w:w="4040" w:type="dxa"/>
            <w:vAlign w:val="bottom"/>
            <w:gridSpan w:val="2"/>
            <w:shd w:val="clear" w:color="auto" w:fill="CCEEFF"/>
          </w:tcPr>
          <w:p>
            <w:pPr>
              <w:spacing w:after="0" w:line="111" w:lineRule="exact"/>
              <w:rPr>
                <w:sz w:val="20"/>
                <w:szCs w:val="20"/>
                <w:color w:val="auto"/>
              </w:rPr>
            </w:pPr>
            <w:r>
              <w:rPr>
                <w:rFonts w:ascii="Arial" w:cs="Arial" w:eastAsia="Arial" w:hAnsi="Arial"/>
                <w:sz w:val="12"/>
                <w:szCs w:val="12"/>
                <w:b w:val="1"/>
                <w:bCs w:val="1"/>
                <w:color w:val="auto"/>
              </w:rPr>
              <w:t>Net Interest Spread ("NIS")</w:t>
            </w:r>
          </w:p>
        </w:tc>
        <w:tc>
          <w:tcPr>
            <w:tcW w:w="10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20"/>
              <w:spacing w:after="0" w:line="111" w:lineRule="exact"/>
              <w:rPr>
                <w:sz w:val="20"/>
                <w:szCs w:val="20"/>
                <w:color w:val="auto"/>
              </w:rPr>
            </w:pPr>
            <w:r>
              <w:rPr>
                <w:rFonts w:ascii="Arial" w:cs="Arial" w:eastAsia="Arial" w:hAnsi="Arial"/>
                <w:sz w:val="12"/>
                <w:szCs w:val="12"/>
                <w:b w:val="1"/>
                <w:bCs w:val="1"/>
                <w:color w:val="auto"/>
              </w:rPr>
              <w:t>1.11%</w:t>
            </w:r>
          </w:p>
        </w:tc>
        <w:tc>
          <w:tcPr>
            <w:tcW w:w="100" w:type="dxa"/>
            <w:vAlign w:val="bottom"/>
            <w:shd w:val="clear" w:color="auto" w:fill="CCEEFF"/>
          </w:tcPr>
          <w:p>
            <w:pPr>
              <w:spacing w:after="0"/>
              <w:rPr>
                <w:sz w:val="9"/>
                <w:szCs w:val="9"/>
                <w:color w:val="auto"/>
              </w:rPr>
            </w:pPr>
          </w:p>
        </w:tc>
        <w:tc>
          <w:tcPr>
            <w:tcW w:w="760" w:type="dxa"/>
            <w:vAlign w:val="bottom"/>
            <w:gridSpan w:val="2"/>
            <w:shd w:val="clear" w:color="auto" w:fill="CCEEFF"/>
          </w:tcPr>
          <w:p>
            <w:pPr>
              <w:jc w:val="right"/>
              <w:ind w:right="60"/>
              <w:spacing w:after="0" w:line="111" w:lineRule="exact"/>
              <w:rPr>
                <w:sz w:val="20"/>
                <w:szCs w:val="20"/>
                <w:color w:val="auto"/>
              </w:rPr>
            </w:pPr>
            <w:r>
              <w:rPr>
                <w:rFonts w:ascii="Arial" w:cs="Arial" w:eastAsia="Arial" w:hAnsi="Arial"/>
                <w:sz w:val="12"/>
                <w:szCs w:val="12"/>
                <w:b w:val="1"/>
                <w:bCs w:val="1"/>
                <w:color w:val="auto"/>
              </w:rPr>
              <w:t>1.04%</w:t>
            </w:r>
          </w:p>
        </w:tc>
        <w:tc>
          <w:tcPr>
            <w:tcW w:w="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40"/>
              <w:spacing w:after="0" w:line="111" w:lineRule="exact"/>
              <w:rPr>
                <w:sz w:val="20"/>
                <w:szCs w:val="20"/>
                <w:color w:val="auto"/>
              </w:rPr>
            </w:pPr>
            <w:r>
              <w:rPr>
                <w:rFonts w:ascii="Arial" w:cs="Arial" w:eastAsia="Arial" w:hAnsi="Arial"/>
                <w:sz w:val="12"/>
                <w:szCs w:val="12"/>
                <w:b w:val="1"/>
                <w:bCs w:val="1"/>
                <w:color w:val="auto"/>
              </w:rPr>
              <w:t>1.01%</w:t>
            </w:r>
          </w:p>
        </w:tc>
        <w:tc>
          <w:tcPr>
            <w:tcW w:w="900" w:type="dxa"/>
            <w:vAlign w:val="bottom"/>
            <w:gridSpan w:val="2"/>
            <w:shd w:val="clear" w:color="auto" w:fill="CCEEFF"/>
          </w:tcPr>
          <w:p>
            <w:pPr>
              <w:jc w:val="right"/>
              <w:ind w:right="220"/>
              <w:spacing w:after="0" w:line="111" w:lineRule="exact"/>
              <w:rPr>
                <w:sz w:val="20"/>
                <w:szCs w:val="20"/>
                <w:color w:val="auto"/>
              </w:rPr>
            </w:pPr>
            <w:r>
              <w:rPr>
                <w:rFonts w:ascii="Arial" w:cs="Arial" w:eastAsia="Arial" w:hAnsi="Arial"/>
                <w:sz w:val="12"/>
                <w:szCs w:val="12"/>
                <w:b w:val="1"/>
                <w:bCs w:val="1"/>
                <w:color w:val="auto"/>
              </w:rPr>
              <w:t>6%</w:t>
            </w:r>
          </w:p>
        </w:tc>
        <w:tc>
          <w:tcPr>
            <w:tcW w:w="820" w:type="dxa"/>
            <w:vAlign w:val="bottom"/>
            <w:gridSpan w:val="2"/>
            <w:shd w:val="clear" w:color="auto" w:fill="CCEEFF"/>
          </w:tcPr>
          <w:p>
            <w:pPr>
              <w:jc w:val="right"/>
              <w:ind w:right="120"/>
              <w:spacing w:after="0" w:line="111" w:lineRule="exact"/>
              <w:rPr>
                <w:sz w:val="20"/>
                <w:szCs w:val="20"/>
                <w:color w:val="auto"/>
              </w:rPr>
            </w:pPr>
            <w:r>
              <w:rPr>
                <w:rFonts w:ascii="Arial" w:cs="Arial" w:eastAsia="Arial" w:hAnsi="Arial"/>
                <w:sz w:val="12"/>
                <w:szCs w:val="12"/>
                <w:b w:val="1"/>
                <w:bCs w:val="1"/>
                <w:color w:val="auto"/>
              </w:rPr>
              <w:t>10%</w:t>
            </w:r>
          </w:p>
        </w:tc>
        <w:tc>
          <w:tcPr>
            <w:tcW w:w="100" w:type="dxa"/>
            <w:vAlign w:val="bottom"/>
            <w:shd w:val="clear" w:color="auto" w:fill="CCEEFF"/>
          </w:tcPr>
          <w:p>
            <w:pPr>
              <w:spacing w:after="0"/>
              <w:rPr>
                <w:sz w:val="9"/>
                <w:szCs w:val="9"/>
                <w:color w:val="auto"/>
              </w:rPr>
            </w:pPr>
          </w:p>
        </w:tc>
        <w:tc>
          <w:tcPr>
            <w:tcW w:w="800" w:type="dxa"/>
            <w:vAlign w:val="bottom"/>
            <w:gridSpan w:val="2"/>
            <w:shd w:val="clear" w:color="auto" w:fill="CCEEFF"/>
          </w:tcPr>
          <w:p>
            <w:pPr>
              <w:jc w:val="right"/>
              <w:ind w:right="100"/>
              <w:spacing w:after="0" w:line="111" w:lineRule="exact"/>
              <w:rPr>
                <w:sz w:val="20"/>
                <w:szCs w:val="20"/>
                <w:color w:val="auto"/>
              </w:rPr>
            </w:pPr>
            <w:r>
              <w:rPr>
                <w:rFonts w:ascii="Arial" w:cs="Arial" w:eastAsia="Arial" w:hAnsi="Arial"/>
                <w:sz w:val="12"/>
                <w:szCs w:val="12"/>
                <w:b w:val="1"/>
                <w:bCs w:val="1"/>
                <w:color w:val="auto"/>
              </w:rPr>
              <w:t>1.08%</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11" w:lineRule="exact"/>
              <w:rPr>
                <w:sz w:val="20"/>
                <w:szCs w:val="20"/>
                <w:color w:val="auto"/>
              </w:rPr>
            </w:pPr>
            <w:r>
              <w:rPr>
                <w:rFonts w:ascii="Arial" w:cs="Arial" w:eastAsia="Arial" w:hAnsi="Arial"/>
                <w:sz w:val="12"/>
                <w:szCs w:val="12"/>
                <w:b w:val="1"/>
                <w:bCs w:val="1"/>
                <w:color w:val="auto"/>
              </w:rPr>
              <w:t>1.09%</w:t>
            </w:r>
          </w:p>
        </w:tc>
        <w:tc>
          <w:tcPr>
            <w:tcW w:w="700" w:type="dxa"/>
            <w:vAlign w:val="bottom"/>
            <w:gridSpan w:val="2"/>
            <w:shd w:val="clear" w:color="auto" w:fill="CCEEFF"/>
          </w:tcPr>
          <w:p>
            <w:pPr>
              <w:jc w:val="right"/>
              <w:ind w:right="20"/>
              <w:spacing w:after="0" w:line="111" w:lineRule="exact"/>
              <w:rPr>
                <w:sz w:val="20"/>
                <w:szCs w:val="20"/>
                <w:color w:val="auto"/>
              </w:rPr>
            </w:pPr>
            <w:r>
              <w:rPr>
                <w:rFonts w:ascii="Arial" w:cs="Arial" w:eastAsia="Arial" w:hAnsi="Arial"/>
                <w:sz w:val="12"/>
                <w:szCs w:val="12"/>
                <w:b w:val="1"/>
                <w:bCs w:val="1"/>
                <w:color w:val="auto"/>
              </w:rPr>
              <w:t>-1%</w:t>
            </w:r>
          </w:p>
        </w:tc>
      </w:tr>
      <w:tr>
        <w:trPr>
          <w:trHeight w:val="168"/>
        </w:trPr>
        <w:tc>
          <w:tcPr>
            <w:tcW w:w="4040" w:type="dxa"/>
            <w:vAlign w:val="bottom"/>
            <w:gridSpan w:val="2"/>
          </w:tcPr>
          <w:p>
            <w:pPr>
              <w:spacing w:after="0"/>
              <w:rPr>
                <w:sz w:val="20"/>
                <w:szCs w:val="20"/>
                <w:color w:val="auto"/>
              </w:rPr>
            </w:pPr>
            <w:r>
              <w:rPr>
                <w:rFonts w:ascii="Arial" w:cs="Arial" w:eastAsia="Arial" w:hAnsi="Arial"/>
                <w:sz w:val="13"/>
                <w:szCs w:val="13"/>
                <w:b w:val="1"/>
                <w:bCs w:val="1"/>
                <w:color w:val="auto"/>
              </w:rPr>
              <w:t>Net Interest Margin ("NIM")</w:t>
            </w:r>
          </w:p>
        </w:tc>
        <w:tc>
          <w:tcPr>
            <w:tcW w:w="100" w:type="dxa"/>
            <w:vAlign w:val="bottom"/>
          </w:tcPr>
          <w:p>
            <w:pPr>
              <w:spacing w:after="0"/>
              <w:rPr>
                <w:sz w:val="14"/>
                <w:szCs w:val="14"/>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1.27%</w:t>
            </w:r>
          </w:p>
        </w:tc>
        <w:tc>
          <w:tcPr>
            <w:tcW w:w="100" w:type="dxa"/>
            <w:vAlign w:val="bottom"/>
          </w:tcPr>
          <w:p>
            <w:pPr>
              <w:spacing w:after="0"/>
              <w:rPr>
                <w:sz w:val="14"/>
                <w:szCs w:val="14"/>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3"/>
                <w:szCs w:val="13"/>
                <w:b w:val="1"/>
                <w:bCs w:val="1"/>
                <w:color w:val="auto"/>
              </w:rPr>
              <w:t>1.24%</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1.28%</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2%</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-1%</w:t>
            </w:r>
          </w:p>
        </w:tc>
        <w:tc>
          <w:tcPr>
            <w:tcW w:w="100" w:type="dxa"/>
            <w:vAlign w:val="bottom"/>
          </w:tcPr>
          <w:p>
            <w:pPr>
              <w:spacing w:after="0"/>
              <w:rPr>
                <w:sz w:val="14"/>
                <w:szCs w:val="14"/>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1.26%</w:t>
            </w:r>
          </w:p>
        </w:tc>
        <w:tc>
          <w:tcPr>
            <w:tcW w:w="12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1.43%</w:t>
            </w:r>
          </w:p>
        </w:tc>
        <w:tc>
          <w:tcPr>
            <w:tcW w:w="700" w:type="dxa"/>
            <w:vAlign w:val="bottom"/>
            <w:gridSpan w:val="2"/>
          </w:tcPr>
          <w:p>
            <w:pPr>
              <w:jc w:val="right"/>
              <w:ind w:right="20"/>
              <w:spacing w:after="0"/>
              <w:rPr>
                <w:sz w:val="20"/>
                <w:szCs w:val="20"/>
                <w:color w:val="auto"/>
              </w:rPr>
            </w:pPr>
            <w:r>
              <w:rPr>
                <w:rFonts w:ascii="Arial" w:cs="Arial" w:eastAsia="Arial" w:hAnsi="Arial"/>
                <w:sz w:val="13"/>
                <w:szCs w:val="13"/>
                <w:b w:val="1"/>
                <w:bCs w:val="1"/>
                <w:color w:val="auto"/>
              </w:rPr>
              <w:t>-12%</w:t>
            </w:r>
          </w:p>
        </w:tc>
      </w:tr>
    </w:tbl>
    <w:p>
      <w:pPr>
        <w:spacing w:after="0" w:line="149" w:lineRule="exact"/>
        <w:rPr>
          <w:sz w:val="20"/>
          <w:szCs w:val="20"/>
          <w:color w:val="auto"/>
        </w:rPr>
      </w:pPr>
    </w:p>
    <w:p>
      <w:pPr>
        <w:jc w:val="both"/>
        <w:ind w:right="80"/>
        <w:spacing w:after="0" w:line="260" w:lineRule="auto"/>
        <w:rPr>
          <w:sz w:val="20"/>
          <w:szCs w:val="20"/>
          <w:color w:val="auto"/>
        </w:rPr>
      </w:pPr>
      <w:r>
        <w:rPr>
          <w:rFonts w:ascii="Arial" w:cs="Arial" w:eastAsia="Arial" w:hAnsi="Arial"/>
          <w:sz w:val="16"/>
          <w:szCs w:val="16"/>
          <w:color w:val="auto"/>
        </w:rPr>
        <w:t>NII totaled $21.0 million for 2Q21 (+11% QoQ; -3% YoY) and $39.9 million for the first 6M21 (-16% YoY). The 11% QoQ increase was mostly attributable to the positive volume net effect from increased loan portfolio average balance (+12% QoQ), and to lower average funding costs (-17 bps QoQ), partly offset by the continued downward repricing of Libor-based loan rates and tighter lending spreads particularly to banks, in a highly liquid environment. 2Q21 NII decreased by 3% YoY, as the positive volume net effect driven by an improved interest-earning assets mix – with increased average loans and investments and decreased cash positions – was offset by the impact of lower Libor-based market rates. On a year-to-date basis, NII was down 16% YoY, mainly impacted by the net rate effect of lower Libor-based market rates on the Bank’s assets and liabilities.</w:t>
      </w:r>
    </w:p>
    <w:p>
      <w:pPr>
        <w:spacing w:after="0" w:line="366" w:lineRule="exact"/>
        <w:rPr>
          <w:sz w:val="20"/>
          <w:szCs w:val="20"/>
          <w:color w:val="auto"/>
        </w:rPr>
      </w:pPr>
    </w:p>
    <w:p>
      <w:pPr>
        <w:jc w:val="right"/>
        <w:spacing w:after="0"/>
        <w:rPr>
          <w:sz w:val="20"/>
          <w:szCs w:val="20"/>
          <w:color w:val="auto"/>
        </w:rPr>
      </w:pPr>
      <w:r>
        <w:rPr>
          <w:rFonts w:ascii="Arial" w:cs="Arial" w:eastAsia="Arial" w:hAnsi="Arial"/>
          <w:sz w:val="16"/>
          <w:szCs w:val="16"/>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FEES AND COMMISSIONS</w:t>
      </w:r>
    </w:p>
    <w:p>
      <w:pPr>
        <w:spacing w:after="0" w:line="211" w:lineRule="exact"/>
        <w:rPr>
          <w:sz w:val="20"/>
          <w:szCs w:val="20"/>
          <w:color w:val="auto"/>
        </w:rPr>
      </w:pPr>
    </w:p>
    <w:p>
      <w:pPr>
        <w:jc w:val="both"/>
        <w:ind w:right="100"/>
        <w:spacing w:after="0" w:line="269" w:lineRule="auto"/>
        <w:rPr>
          <w:sz w:val="20"/>
          <w:szCs w:val="20"/>
          <w:color w:val="auto"/>
        </w:rPr>
      </w:pPr>
      <w:r>
        <w:rPr>
          <w:rFonts w:ascii="Arial" w:cs="Arial" w:eastAsia="Arial" w:hAnsi="Arial"/>
          <w:sz w:val="16"/>
          <w:szCs w:val="16"/>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4120" w:type="dxa"/>
            <w:vAlign w:val="bottom"/>
          </w:tcPr>
          <w:p>
            <w:pPr>
              <w:spacing w:after="0"/>
              <w:rPr>
                <w:sz w:val="20"/>
                <w:szCs w:val="20"/>
                <w:color w:val="auto"/>
              </w:rPr>
            </w:pPr>
            <w:r>
              <w:rPr>
                <w:rFonts w:ascii="Arial" w:cs="Arial" w:eastAsia="Arial" w:hAnsi="Arial"/>
                <w:sz w:val="16"/>
                <w:szCs w:val="16"/>
                <w:color w:val="auto"/>
              </w:rPr>
              <w:t>(US$ million)</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jc w:val="right"/>
              <w:ind w:right="19"/>
              <w:spacing w:after="0"/>
              <w:rPr>
                <w:sz w:val="20"/>
                <w:szCs w:val="20"/>
                <w:color w:val="auto"/>
              </w:rPr>
            </w:pPr>
            <w:r>
              <w:rPr>
                <w:rFonts w:ascii="Arial" w:cs="Arial" w:eastAsia="Arial" w:hAnsi="Arial"/>
                <w:sz w:val="16"/>
                <w:szCs w:val="16"/>
                <w:b w:val="1"/>
                <w:bCs w:val="1"/>
                <w:color w:val="auto"/>
              </w:rPr>
              <w:t>2Q21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jc w:val="right"/>
              <w:ind w:right="19"/>
              <w:spacing w:after="0"/>
              <w:rPr>
                <w:sz w:val="20"/>
                <w:szCs w:val="20"/>
                <w:color w:val="auto"/>
              </w:rPr>
            </w:pPr>
            <w:r>
              <w:rPr>
                <w:rFonts w:ascii="Arial" w:cs="Arial" w:eastAsia="Arial" w:hAnsi="Arial"/>
                <w:sz w:val="16"/>
                <w:szCs w:val="16"/>
                <w:b w:val="1"/>
                <w:bCs w:val="1"/>
                <w:color w:val="auto"/>
              </w:rPr>
              <w:t>1Q21</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ind w:left="80"/>
              <w:spacing w:after="0"/>
              <w:rPr>
                <w:sz w:val="20"/>
                <w:szCs w:val="20"/>
                <w:color w:val="auto"/>
              </w:rPr>
            </w:pPr>
            <w:r>
              <w:rPr>
                <w:rFonts w:ascii="Arial" w:cs="Arial" w:eastAsia="Arial" w:hAnsi="Arial"/>
                <w:sz w:val="16"/>
                <w:szCs w:val="16"/>
                <w:b w:val="1"/>
                <w:bCs w:val="1"/>
                <w:color w:val="auto"/>
              </w:rPr>
              <w:t>2Q20</w:t>
            </w:r>
          </w:p>
        </w:tc>
        <w:tc>
          <w:tcPr>
            <w:tcW w:w="220" w:type="dxa"/>
            <w:vAlign w:val="bottom"/>
          </w:tcPr>
          <w:p>
            <w:pPr>
              <w:spacing w:after="0"/>
              <w:rPr>
                <w:sz w:val="18"/>
                <w:szCs w:val="18"/>
                <w:color w:val="auto"/>
              </w:rPr>
            </w:pPr>
          </w:p>
        </w:tc>
        <w:tc>
          <w:tcPr>
            <w:tcW w:w="660" w:type="dxa"/>
            <w:vAlign w:val="bottom"/>
          </w:tcPr>
          <w:p>
            <w:pPr>
              <w:spacing w:after="0"/>
              <w:rPr>
                <w:sz w:val="20"/>
                <w:szCs w:val="20"/>
                <w:color w:val="auto"/>
              </w:rPr>
            </w:pPr>
            <w:r>
              <w:rPr>
                <w:rFonts w:ascii="Arial" w:cs="Arial" w:eastAsia="Arial" w:hAnsi="Arial"/>
                <w:sz w:val="16"/>
                <w:szCs w:val="16"/>
                <w:b w:val="1"/>
                <w:bCs w:val="1"/>
                <w:color w:val="auto"/>
                <w:w w:val="99"/>
              </w:rPr>
              <w:t>QoQ (%)</w:t>
            </w:r>
          </w:p>
        </w:tc>
        <w:tc>
          <w:tcPr>
            <w:tcW w:w="280" w:type="dxa"/>
            <w:vAlign w:val="bottom"/>
          </w:tcPr>
          <w:p>
            <w:pPr>
              <w:spacing w:after="0"/>
              <w:rPr>
                <w:sz w:val="18"/>
                <w:szCs w:val="18"/>
                <w:color w:val="auto"/>
              </w:rPr>
            </w:pPr>
          </w:p>
        </w:tc>
        <w:tc>
          <w:tcPr>
            <w:tcW w:w="1000" w:type="dxa"/>
            <w:vAlign w:val="bottom"/>
            <w:gridSpan w:val="3"/>
          </w:tcPr>
          <w:p>
            <w:pPr>
              <w:jc w:val="right"/>
              <w:ind w:right="324"/>
              <w:spacing w:after="0"/>
              <w:rPr>
                <w:sz w:val="20"/>
                <w:szCs w:val="20"/>
                <w:color w:val="auto"/>
              </w:rPr>
            </w:pPr>
            <w:r>
              <w:rPr>
                <w:rFonts w:ascii="Arial" w:cs="Arial" w:eastAsia="Arial" w:hAnsi="Arial"/>
                <w:sz w:val="16"/>
                <w:szCs w:val="16"/>
                <w:b w:val="1"/>
                <w:bCs w:val="1"/>
                <w:color w:val="auto"/>
                <w:w w:val="95"/>
              </w:rPr>
              <w:t>YoY (%)</w:t>
            </w:r>
          </w:p>
        </w:tc>
        <w:tc>
          <w:tcPr>
            <w:tcW w:w="780" w:type="dxa"/>
            <w:vAlign w:val="bottom"/>
            <w:gridSpan w:val="2"/>
          </w:tcPr>
          <w:p>
            <w:pPr>
              <w:ind w:left="80"/>
              <w:spacing w:after="0"/>
              <w:rPr>
                <w:sz w:val="20"/>
                <w:szCs w:val="20"/>
                <w:color w:val="auto"/>
              </w:rPr>
            </w:pPr>
            <w:r>
              <w:rPr>
                <w:rFonts w:ascii="Arial" w:cs="Arial" w:eastAsia="Arial" w:hAnsi="Arial"/>
                <w:sz w:val="16"/>
                <w:szCs w:val="16"/>
                <w:b w:val="1"/>
                <w:bCs w:val="1"/>
                <w:color w:val="auto"/>
              </w:rPr>
              <w:t>6M21</w:t>
            </w:r>
          </w:p>
        </w:tc>
        <w:tc>
          <w:tcPr>
            <w:tcW w:w="100" w:type="dxa"/>
            <w:vAlign w:val="bottom"/>
          </w:tcPr>
          <w:p>
            <w:pPr>
              <w:spacing w:after="0"/>
              <w:rPr>
                <w:sz w:val="18"/>
                <w:szCs w:val="18"/>
                <w:color w:val="auto"/>
              </w:rPr>
            </w:pPr>
          </w:p>
        </w:tc>
        <w:tc>
          <w:tcPr>
            <w:tcW w:w="580" w:type="dxa"/>
            <w:vAlign w:val="bottom"/>
          </w:tcPr>
          <w:p>
            <w:pPr>
              <w:jc w:val="right"/>
              <w:ind w:right="19"/>
              <w:spacing w:after="0"/>
              <w:rPr>
                <w:sz w:val="20"/>
                <w:szCs w:val="20"/>
                <w:color w:val="auto"/>
              </w:rPr>
            </w:pPr>
            <w:r>
              <w:rPr>
                <w:rFonts w:ascii="Arial" w:cs="Arial" w:eastAsia="Arial" w:hAnsi="Arial"/>
                <w:sz w:val="16"/>
                <w:szCs w:val="16"/>
                <w:b w:val="1"/>
                <w:bCs w:val="1"/>
                <w:color w:val="auto"/>
              </w:rPr>
              <w:t>6M20</w:t>
            </w:r>
          </w:p>
        </w:tc>
        <w:tc>
          <w:tcPr>
            <w:tcW w:w="200" w:type="dxa"/>
            <w:vAlign w:val="bottom"/>
          </w:tcPr>
          <w:p>
            <w:pPr>
              <w:spacing w:after="0"/>
              <w:rPr>
                <w:sz w:val="18"/>
                <w:szCs w:val="18"/>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6"/>
                <w:szCs w:val="16"/>
                <w:b w:val="1"/>
                <w:bCs w:val="1"/>
                <w:color w:val="auto"/>
                <w:w w:val="99"/>
              </w:rPr>
              <w:t>YoY (%)</w:t>
            </w:r>
          </w:p>
        </w:tc>
        <w:tc>
          <w:tcPr>
            <w:tcW w:w="0" w:type="dxa"/>
            <w:vAlign w:val="bottom"/>
          </w:tcPr>
          <w:p>
            <w:pPr>
              <w:spacing w:after="0"/>
              <w:rPr>
                <w:sz w:val="1"/>
                <w:szCs w:val="1"/>
                <w:color w:val="auto"/>
              </w:rPr>
            </w:pPr>
          </w:p>
        </w:tc>
      </w:tr>
      <w:tr>
        <w:trPr>
          <w:trHeight w:val="25"/>
        </w:trPr>
        <w:tc>
          <w:tcPr>
            <w:tcW w:w="41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100" w:type="dxa"/>
            <w:vAlign w:val="bottom"/>
            <w:vMerge w:val="restart"/>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20" w:type="dxa"/>
            <w:vAlign w:val="bottom"/>
            <w:vMerge w:val="restart"/>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220" w:type="dxa"/>
            <w:vAlign w:val="bottom"/>
            <w:vMerge w:val="restart"/>
            <w:shd w:val="clear" w:color="auto" w:fill="CCEEFF"/>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580" w:type="dxa"/>
            <w:vAlign w:val="bottom"/>
            <w:tcBorders>
              <w:right w:val="single" w:sz="8" w:color="CCEEFF"/>
            </w:tcBorders>
            <w:shd w:val="clear" w:color="auto" w:fill="000000"/>
          </w:tcPr>
          <w:p>
            <w:pPr>
              <w:spacing w:after="0"/>
              <w:rPr>
                <w:sz w:val="2"/>
                <w:szCs w:val="2"/>
                <w:color w:val="auto"/>
              </w:rPr>
            </w:pPr>
          </w:p>
        </w:tc>
        <w:tc>
          <w:tcPr>
            <w:tcW w:w="200" w:type="dxa"/>
            <w:vAlign w:val="bottom"/>
            <w:vMerge w:val="restart"/>
            <w:shd w:val="clear" w:color="auto" w:fill="CCEEFF"/>
          </w:tcPr>
          <w:p>
            <w:pPr>
              <w:spacing w:after="0"/>
              <w:rPr>
                <w:sz w:val="2"/>
                <w:szCs w:val="2"/>
                <w:color w:val="auto"/>
              </w:rPr>
            </w:pPr>
          </w:p>
        </w:tc>
        <w:tc>
          <w:tcPr>
            <w:tcW w:w="620" w:type="dxa"/>
            <w:vAlign w:val="bottom"/>
            <w:shd w:val="clear" w:color="auto" w:fill="000000"/>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5"/>
        </w:trPr>
        <w:tc>
          <w:tcPr>
            <w:tcW w:w="4120" w:type="dxa"/>
            <w:vAlign w:val="bottom"/>
            <w:shd w:val="clear" w:color="auto" w:fill="CCEEFF"/>
          </w:tcPr>
          <w:p>
            <w:pPr>
              <w:spacing w:after="0"/>
              <w:rPr>
                <w:sz w:val="20"/>
                <w:szCs w:val="20"/>
                <w:color w:val="auto"/>
              </w:rPr>
            </w:pPr>
            <w:r>
              <w:rPr>
                <w:rFonts w:ascii="Arial" w:cs="Arial" w:eastAsia="Arial" w:hAnsi="Arial"/>
                <w:sz w:val="16"/>
                <w:szCs w:val="16"/>
                <w:color w:val="auto"/>
              </w:rPr>
              <w:t>Letters of credit fees</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100" w:type="dxa"/>
            <w:vAlign w:val="bottom"/>
            <w:vMerge w:val="continue"/>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220" w:type="dxa"/>
            <w:vAlign w:val="bottom"/>
            <w:vMerge w:val="continue"/>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40" w:type="dxa"/>
            <w:vAlign w:val="bottom"/>
            <w:shd w:val="clear" w:color="auto" w:fill="CCEEFF"/>
          </w:tcPr>
          <w:p>
            <w:pPr>
              <w:ind w:left="340"/>
              <w:spacing w:after="0"/>
              <w:rPr>
                <w:sz w:val="20"/>
                <w:szCs w:val="20"/>
                <w:color w:val="auto"/>
              </w:rPr>
            </w:pPr>
            <w:r>
              <w:rPr>
                <w:rFonts w:ascii="Arial" w:cs="Arial" w:eastAsia="Arial" w:hAnsi="Arial"/>
                <w:sz w:val="16"/>
                <w:szCs w:val="16"/>
                <w:color w:val="auto"/>
                <w:w w:val="80"/>
              </w:rPr>
              <w:t>1.8</w:t>
            </w:r>
          </w:p>
        </w:tc>
        <w:tc>
          <w:tcPr>
            <w:tcW w:w="220" w:type="dxa"/>
            <w:vAlign w:val="bottom"/>
            <w:vMerge w:val="continue"/>
            <w:shd w:val="clear" w:color="auto" w:fill="CCEEFF"/>
          </w:tcPr>
          <w:p>
            <w:pPr>
              <w:spacing w:after="0"/>
              <w:rPr>
                <w:sz w:val="16"/>
                <w:szCs w:val="16"/>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34%</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90%</w:t>
            </w:r>
          </w:p>
        </w:tc>
        <w:tc>
          <w:tcPr>
            <w:tcW w:w="12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w:t>
            </w: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4.3</w:t>
            </w:r>
          </w:p>
        </w:tc>
        <w:tc>
          <w:tcPr>
            <w:tcW w:w="200" w:type="dxa"/>
            <w:vAlign w:val="bottom"/>
            <w:vMerge w:val="continue"/>
            <w:shd w:val="clear" w:color="auto" w:fill="CCEEFF"/>
          </w:tcPr>
          <w:p>
            <w:pPr>
              <w:spacing w:after="0"/>
              <w:rPr>
                <w:sz w:val="16"/>
                <w:szCs w:val="16"/>
                <w:color w:val="auto"/>
              </w:rPr>
            </w:pP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40%</w:t>
            </w:r>
          </w:p>
        </w:tc>
        <w:tc>
          <w:tcPr>
            <w:tcW w:w="0" w:type="dxa"/>
            <w:vAlign w:val="bottom"/>
          </w:tcPr>
          <w:p>
            <w:pPr>
              <w:spacing w:after="0"/>
              <w:rPr>
                <w:sz w:val="1"/>
                <w:szCs w:val="1"/>
                <w:color w:val="auto"/>
              </w:rPr>
            </w:pPr>
          </w:p>
        </w:tc>
      </w:tr>
      <w:tr>
        <w:trPr>
          <w:trHeight w:val="195"/>
        </w:trPr>
        <w:tc>
          <w:tcPr>
            <w:tcW w:w="4120" w:type="dxa"/>
            <w:vAlign w:val="bottom"/>
          </w:tcPr>
          <w:p>
            <w:pPr>
              <w:spacing w:after="0"/>
              <w:rPr>
                <w:sz w:val="20"/>
                <w:szCs w:val="20"/>
                <w:color w:val="auto"/>
              </w:rPr>
            </w:pPr>
            <w:r>
              <w:rPr>
                <w:rFonts w:ascii="Arial" w:cs="Arial" w:eastAsia="Arial" w:hAnsi="Arial"/>
                <w:sz w:val="16"/>
                <w:szCs w:val="16"/>
                <w:color w:val="auto"/>
              </w:rPr>
              <w:t>Loan syndication fees</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6"/>
                <w:szCs w:val="16"/>
                <w:color w:val="auto"/>
              </w:rPr>
              <w:t>0.4</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6"/>
                <w:szCs w:val="16"/>
                <w:color w:val="auto"/>
              </w:rPr>
              <w:t>0.1</w:t>
            </w:r>
          </w:p>
        </w:tc>
        <w:tc>
          <w:tcPr>
            <w:tcW w:w="100" w:type="dxa"/>
            <w:vAlign w:val="bottom"/>
          </w:tcPr>
          <w:p>
            <w:pPr>
              <w:spacing w:after="0"/>
              <w:rPr>
                <w:sz w:val="16"/>
                <w:szCs w:val="16"/>
                <w:color w:val="auto"/>
              </w:rPr>
            </w:pPr>
          </w:p>
        </w:tc>
        <w:tc>
          <w:tcPr>
            <w:tcW w:w="760" w:type="dxa"/>
            <w:vAlign w:val="bottom"/>
            <w:gridSpan w:val="2"/>
          </w:tcPr>
          <w:p>
            <w:pPr>
              <w:ind w:left="340"/>
              <w:spacing w:after="0"/>
              <w:rPr>
                <w:sz w:val="20"/>
                <w:szCs w:val="20"/>
                <w:color w:val="auto"/>
              </w:rPr>
            </w:pPr>
            <w:r>
              <w:rPr>
                <w:rFonts w:ascii="Arial" w:cs="Arial" w:eastAsia="Arial" w:hAnsi="Arial"/>
                <w:sz w:val="16"/>
                <w:szCs w:val="16"/>
                <w:color w:val="auto"/>
              </w:rPr>
              <w:t>0.1</w:t>
            </w: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298%</w:t>
            </w:r>
          </w:p>
        </w:tc>
        <w:tc>
          <w:tcPr>
            <w:tcW w:w="880" w:type="dxa"/>
            <w:vAlign w:val="bottom"/>
            <w:gridSpan w:val="2"/>
          </w:tcPr>
          <w:p>
            <w:pPr>
              <w:jc w:val="right"/>
              <w:ind w:right="140"/>
              <w:spacing w:after="0"/>
              <w:rPr>
                <w:sz w:val="20"/>
                <w:szCs w:val="20"/>
                <w:color w:val="auto"/>
              </w:rPr>
            </w:pPr>
            <w:r>
              <w:rPr>
                <w:rFonts w:ascii="Arial" w:cs="Arial" w:eastAsia="Arial" w:hAnsi="Arial"/>
                <w:sz w:val="16"/>
                <w:szCs w:val="16"/>
                <w:color w:val="auto"/>
              </w:rPr>
              <w:t>628%</w:t>
            </w:r>
          </w:p>
        </w:tc>
        <w:tc>
          <w:tcPr>
            <w:tcW w:w="12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6"/>
                <w:szCs w:val="16"/>
                <w:color w:val="auto"/>
              </w:rPr>
              <w:t>0.5</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6"/>
                <w:szCs w:val="16"/>
                <w:color w:val="auto"/>
              </w:rPr>
              <w:t>0.5</w:t>
            </w:r>
          </w:p>
        </w:tc>
        <w:tc>
          <w:tcPr>
            <w:tcW w:w="1000" w:type="dxa"/>
            <w:vAlign w:val="bottom"/>
            <w:gridSpan w:val="3"/>
          </w:tcPr>
          <w:p>
            <w:pPr>
              <w:jc w:val="right"/>
              <w:ind w:right="40"/>
              <w:spacing w:after="0"/>
              <w:rPr>
                <w:sz w:val="20"/>
                <w:szCs w:val="20"/>
                <w:color w:val="auto"/>
              </w:rPr>
            </w:pPr>
            <w:r>
              <w:rPr>
                <w:rFonts w:ascii="Arial" w:cs="Arial" w:eastAsia="Arial" w:hAnsi="Arial"/>
                <w:sz w:val="16"/>
                <w:szCs w:val="16"/>
                <w:color w:val="auto"/>
              </w:rPr>
              <w:t>11%</w:t>
            </w:r>
          </w:p>
        </w:tc>
        <w:tc>
          <w:tcPr>
            <w:tcW w:w="0" w:type="dxa"/>
            <w:vAlign w:val="bottom"/>
          </w:tcPr>
          <w:p>
            <w:pPr>
              <w:spacing w:after="0"/>
              <w:rPr>
                <w:sz w:val="1"/>
                <w:szCs w:val="1"/>
                <w:color w:val="auto"/>
              </w:rPr>
            </w:pPr>
          </w:p>
        </w:tc>
      </w:tr>
      <w:tr>
        <w:trPr>
          <w:trHeight w:val="207"/>
        </w:trPr>
        <w:tc>
          <w:tcPr>
            <w:tcW w:w="4120" w:type="dxa"/>
            <w:vAlign w:val="bottom"/>
            <w:shd w:val="clear" w:color="auto" w:fill="CCEEFF"/>
          </w:tcPr>
          <w:p>
            <w:pPr>
              <w:spacing w:after="0"/>
              <w:rPr>
                <w:sz w:val="20"/>
                <w:szCs w:val="20"/>
                <w:color w:val="auto"/>
              </w:rPr>
            </w:pPr>
            <w:r>
              <w:rPr>
                <w:rFonts w:ascii="Arial" w:cs="Arial" w:eastAsia="Arial" w:hAnsi="Arial"/>
                <w:sz w:val="16"/>
                <w:szCs w:val="16"/>
                <w:color w:val="auto"/>
              </w:rPr>
              <w:t>Other commissions, net</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0.5</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0.4</w:t>
            </w: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ind w:left="340"/>
              <w:spacing w:after="0"/>
              <w:rPr>
                <w:sz w:val="20"/>
                <w:szCs w:val="20"/>
                <w:color w:val="auto"/>
              </w:rPr>
            </w:pPr>
            <w:r>
              <w:rPr>
                <w:rFonts w:ascii="Arial" w:cs="Arial" w:eastAsia="Arial" w:hAnsi="Arial"/>
                <w:sz w:val="16"/>
                <w:szCs w:val="16"/>
                <w:color w:val="auto"/>
              </w:rPr>
              <w:t>0.1</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380%</w:t>
            </w:r>
          </w:p>
        </w:tc>
        <w:tc>
          <w:tcPr>
            <w:tcW w:w="1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0.9</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0.3</w:t>
            </w:r>
          </w:p>
        </w:tc>
        <w:tc>
          <w:tcPr>
            <w:tcW w:w="1000" w:type="dxa"/>
            <w:vAlign w:val="bottom"/>
            <w:gridSpan w:val="3"/>
            <w:shd w:val="clear" w:color="auto" w:fill="CCEEFF"/>
          </w:tcPr>
          <w:p>
            <w:pPr>
              <w:jc w:val="right"/>
              <w:ind w:right="40"/>
              <w:spacing w:after="0"/>
              <w:rPr>
                <w:sz w:val="20"/>
                <w:szCs w:val="20"/>
                <w:color w:val="auto"/>
              </w:rPr>
            </w:pPr>
            <w:r>
              <w:rPr>
                <w:rFonts w:ascii="Arial" w:cs="Arial" w:eastAsia="Arial" w:hAnsi="Arial"/>
                <w:sz w:val="16"/>
                <w:szCs w:val="16"/>
                <w:color w:val="auto"/>
              </w:rPr>
              <w:t>179%</w:t>
            </w:r>
          </w:p>
        </w:tc>
        <w:tc>
          <w:tcPr>
            <w:tcW w:w="0" w:type="dxa"/>
            <w:vAlign w:val="bottom"/>
          </w:tcPr>
          <w:p>
            <w:pPr>
              <w:spacing w:after="0"/>
              <w:rPr>
                <w:sz w:val="1"/>
                <w:szCs w:val="1"/>
                <w:color w:val="auto"/>
              </w:rPr>
            </w:pPr>
          </w:p>
        </w:tc>
      </w:tr>
      <w:tr>
        <w:trPr>
          <w:trHeight w:val="200"/>
        </w:trPr>
        <w:tc>
          <w:tcPr>
            <w:tcW w:w="4120" w:type="dxa"/>
            <w:vAlign w:val="bottom"/>
          </w:tcPr>
          <w:p>
            <w:pPr>
              <w:spacing w:after="0"/>
              <w:rPr>
                <w:sz w:val="20"/>
                <w:szCs w:val="20"/>
                <w:color w:val="auto"/>
              </w:rPr>
            </w:pPr>
            <w:r>
              <w:rPr>
                <w:rFonts w:ascii="Arial" w:cs="Arial" w:eastAsia="Arial" w:hAnsi="Arial"/>
                <w:sz w:val="16"/>
                <w:szCs w:val="16"/>
                <w:b w:val="1"/>
                <w:bCs w:val="1"/>
                <w:color w:val="auto"/>
              </w:rPr>
              <w:t>Fees and Commissions, net</w:t>
            </w:r>
          </w:p>
        </w:tc>
        <w:tc>
          <w:tcPr>
            <w:tcW w:w="1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4.3</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3.0</w:t>
            </w:r>
          </w:p>
        </w:tc>
        <w:tc>
          <w:tcPr>
            <w:tcW w:w="2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tcPr>
          <w:p>
            <w:pPr>
              <w:ind w:left="340"/>
              <w:spacing w:after="0"/>
              <w:rPr>
                <w:sz w:val="20"/>
                <w:szCs w:val="20"/>
                <w:color w:val="auto"/>
              </w:rPr>
            </w:pPr>
            <w:r>
              <w:rPr>
                <w:rFonts w:ascii="Arial" w:cs="Arial" w:eastAsia="Arial" w:hAnsi="Arial"/>
                <w:sz w:val="16"/>
                <w:szCs w:val="16"/>
                <w:b w:val="1"/>
                <w:bCs w:val="1"/>
                <w:color w:val="auto"/>
                <w:w w:val="80"/>
              </w:rPr>
              <w:t>1.9</w:t>
            </w:r>
          </w:p>
        </w:tc>
        <w:tc>
          <w:tcPr>
            <w:tcW w:w="220" w:type="dxa"/>
            <w:vAlign w:val="bottom"/>
          </w:tcPr>
          <w:p>
            <w:pPr>
              <w:spacing w:after="0"/>
              <w:rPr>
                <w:sz w:val="17"/>
                <w:szCs w:val="17"/>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41%</w:t>
            </w:r>
          </w:p>
        </w:tc>
        <w:tc>
          <w:tcPr>
            <w:tcW w:w="8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120%</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7.3</w:t>
            </w:r>
          </w:p>
        </w:tc>
        <w:tc>
          <w:tcPr>
            <w:tcW w:w="2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5.0</w:t>
            </w:r>
          </w:p>
        </w:tc>
        <w:tc>
          <w:tcPr>
            <w:tcW w:w="1000" w:type="dxa"/>
            <w:vAlign w:val="bottom"/>
            <w:gridSpan w:val="3"/>
          </w:tcPr>
          <w:p>
            <w:pPr>
              <w:jc w:val="right"/>
              <w:ind w:right="20"/>
              <w:spacing w:after="0"/>
              <w:rPr>
                <w:sz w:val="20"/>
                <w:szCs w:val="20"/>
                <w:color w:val="auto"/>
              </w:rPr>
            </w:pPr>
            <w:r>
              <w:rPr>
                <w:rFonts w:ascii="Arial" w:cs="Arial" w:eastAsia="Arial" w:hAnsi="Arial"/>
                <w:sz w:val="16"/>
                <w:szCs w:val="16"/>
                <w:b w:val="1"/>
                <w:bCs w:val="1"/>
                <w:color w:val="auto"/>
              </w:rPr>
              <w:t>46%</w:t>
            </w:r>
          </w:p>
        </w:tc>
        <w:tc>
          <w:tcPr>
            <w:tcW w:w="0" w:type="dxa"/>
            <w:vAlign w:val="bottom"/>
          </w:tcPr>
          <w:p>
            <w:pPr>
              <w:spacing w:after="0"/>
              <w:rPr>
                <w:sz w:val="1"/>
                <w:szCs w:val="1"/>
                <w:color w:val="auto"/>
              </w:rPr>
            </w:pPr>
          </w:p>
        </w:tc>
      </w:tr>
      <w:tr>
        <w:trPr>
          <w:trHeight w:val="20"/>
        </w:trPr>
        <w:tc>
          <w:tcPr>
            <w:tcW w:w="4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3" w:lineRule="exact"/>
        <w:rPr>
          <w:sz w:val="20"/>
          <w:szCs w:val="20"/>
          <w:color w:val="auto"/>
        </w:rPr>
      </w:pPr>
    </w:p>
    <w:p>
      <w:pPr>
        <w:ind w:right="80"/>
        <w:spacing w:after="0" w:line="284" w:lineRule="auto"/>
        <w:rPr>
          <w:sz w:val="20"/>
          <w:szCs w:val="20"/>
          <w:color w:val="auto"/>
        </w:rPr>
      </w:pPr>
      <w:r>
        <w:rPr>
          <w:rFonts w:ascii="Arial" w:cs="Arial" w:eastAsia="Arial" w:hAnsi="Arial"/>
          <w:sz w:val="16"/>
          <w:szCs w:val="16"/>
          <w:color w:val="auto"/>
        </w:rPr>
        <w:t>Fees and Commissions income increased to $4.3 million for 2Q21 (+41% QoQ and 120% YoY) and to $7.3 million for the first 6M21 (+46%), mostly driven by the sustained positive trend in the Bank’s letters of credit business, along with the return of loan syndications activity.</w:t>
      </w:r>
    </w:p>
    <w:p>
      <w:pPr>
        <w:spacing w:after="0" w:line="346" w:lineRule="exact"/>
        <w:rPr>
          <w:sz w:val="20"/>
          <w:szCs w:val="20"/>
          <w:color w:val="auto"/>
        </w:rPr>
      </w:pPr>
    </w:p>
    <w:p>
      <w:pPr>
        <w:jc w:val="right"/>
        <w:spacing w:after="0"/>
        <w:rPr>
          <w:sz w:val="20"/>
          <w:szCs w:val="20"/>
          <w:color w:val="auto"/>
        </w:rPr>
      </w:pPr>
      <w:r>
        <w:rPr>
          <w:rFonts w:ascii="Arial" w:cs="Arial" w:eastAsia="Arial" w:hAnsi="Arial"/>
          <w:sz w:val="16"/>
          <w:szCs w:val="16"/>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5600" w:type="dxa"/>
            <w:vAlign w:val="bottom"/>
            <w:gridSpan w:val="3"/>
          </w:tcPr>
          <w:p>
            <w:pPr>
              <w:spacing w:after="0"/>
              <w:rPr>
                <w:sz w:val="20"/>
                <w:szCs w:val="20"/>
                <w:color w:val="auto"/>
              </w:rPr>
            </w:pPr>
            <w:r>
              <w:rPr>
                <w:rFonts w:ascii="Arial" w:cs="Arial" w:eastAsia="Arial" w:hAnsi="Arial"/>
                <w:sz w:val="16"/>
                <w:szCs w:val="16"/>
                <w:b w:val="1"/>
                <w:bCs w:val="1"/>
                <w:color w:val="auto"/>
              </w:rPr>
              <w:t>PORTFOLIO QUALITY AND TOTAL ALLOWANCE FOR CREDIT LOSSES</w:t>
            </w:r>
          </w:p>
        </w:tc>
        <w:tc>
          <w:tcPr>
            <w:tcW w:w="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91"/>
        </w:trPr>
        <w:tc>
          <w:tcPr>
            <w:tcW w:w="5600" w:type="dxa"/>
            <w:vAlign w:val="bottom"/>
            <w:gridSpan w:val="3"/>
          </w:tcPr>
          <w:p>
            <w:pPr>
              <w:spacing w:after="0"/>
              <w:rPr>
                <w:sz w:val="20"/>
                <w:szCs w:val="20"/>
                <w:color w:val="auto"/>
              </w:rPr>
            </w:pPr>
            <w:r>
              <w:rPr>
                <w:rFonts w:ascii="Arial" w:cs="Arial" w:eastAsia="Arial" w:hAnsi="Arial"/>
                <w:sz w:val="15"/>
                <w:szCs w:val="15"/>
                <w:color w:val="auto"/>
              </w:rPr>
              <w:t>(US$ million, except percentages)</w:t>
            </w:r>
          </w:p>
        </w:tc>
        <w:tc>
          <w:tcPr>
            <w:tcW w:w="40" w:type="dxa"/>
            <w:vAlign w:val="bottom"/>
          </w:tcPr>
          <w:p>
            <w:pPr>
              <w:spacing w:after="0"/>
              <w:rPr>
                <w:sz w:val="24"/>
                <w:szCs w:val="24"/>
                <w:color w:val="auto"/>
              </w:rPr>
            </w:pPr>
          </w:p>
        </w:tc>
        <w:tc>
          <w:tcPr>
            <w:tcW w:w="1080" w:type="dxa"/>
            <w:vAlign w:val="bottom"/>
            <w:gridSpan w:val="3"/>
          </w:tcPr>
          <w:p>
            <w:pPr>
              <w:jc w:val="right"/>
              <w:ind w:right="300"/>
              <w:spacing w:after="0"/>
              <w:rPr>
                <w:sz w:val="20"/>
                <w:szCs w:val="20"/>
                <w:color w:val="auto"/>
              </w:rPr>
            </w:pPr>
            <w:r>
              <w:rPr>
                <w:rFonts w:ascii="Arial" w:cs="Arial" w:eastAsia="Arial" w:hAnsi="Arial"/>
                <w:sz w:val="16"/>
                <w:szCs w:val="16"/>
                <w:b w:val="1"/>
                <w:bCs w:val="1"/>
                <w:color w:val="auto"/>
              </w:rPr>
              <w:t>30-Jun-21</w:t>
            </w:r>
          </w:p>
        </w:tc>
        <w:tc>
          <w:tcPr>
            <w:tcW w:w="60" w:type="dxa"/>
            <w:vAlign w:val="bottom"/>
          </w:tcPr>
          <w:p>
            <w:pPr>
              <w:spacing w:after="0"/>
              <w:rPr>
                <w:sz w:val="24"/>
                <w:szCs w:val="24"/>
                <w:color w:val="auto"/>
              </w:rPr>
            </w:pPr>
          </w:p>
        </w:tc>
        <w:tc>
          <w:tcPr>
            <w:tcW w:w="1060" w:type="dxa"/>
            <w:vAlign w:val="bottom"/>
            <w:gridSpan w:val="3"/>
          </w:tcPr>
          <w:p>
            <w:pPr>
              <w:jc w:val="right"/>
              <w:ind w:right="280"/>
              <w:spacing w:after="0"/>
              <w:rPr>
                <w:sz w:val="20"/>
                <w:szCs w:val="20"/>
                <w:color w:val="auto"/>
              </w:rPr>
            </w:pPr>
            <w:r>
              <w:rPr>
                <w:rFonts w:ascii="Arial" w:cs="Arial" w:eastAsia="Arial" w:hAnsi="Arial"/>
                <w:sz w:val="16"/>
                <w:szCs w:val="16"/>
                <w:b w:val="1"/>
                <w:bCs w:val="1"/>
                <w:color w:val="auto"/>
              </w:rPr>
              <w:t>31-Mar-21</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w w:val="89"/>
              </w:rPr>
              <w:t>31-Dec-20</w:t>
            </w:r>
          </w:p>
        </w:tc>
        <w:tc>
          <w:tcPr>
            <w:tcW w:w="80" w:type="dxa"/>
            <w:vAlign w:val="bottom"/>
          </w:tcPr>
          <w:p>
            <w:pPr>
              <w:spacing w:after="0"/>
              <w:rPr>
                <w:sz w:val="24"/>
                <w:szCs w:val="24"/>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6"/>
                <w:szCs w:val="16"/>
                <w:b w:val="1"/>
                <w:bCs w:val="1"/>
                <w:color w:val="auto"/>
                <w:w w:val="89"/>
              </w:rPr>
              <w:t>30-Sep-20</w:t>
            </w:r>
          </w:p>
        </w:tc>
        <w:tc>
          <w:tcPr>
            <w:tcW w:w="80" w:type="dxa"/>
            <w:vAlign w:val="bottom"/>
          </w:tcPr>
          <w:p>
            <w:pPr>
              <w:spacing w:after="0"/>
              <w:rPr>
                <w:sz w:val="24"/>
                <w:szCs w:val="24"/>
                <w:color w:val="auto"/>
              </w:rPr>
            </w:pPr>
          </w:p>
        </w:tc>
        <w:tc>
          <w:tcPr>
            <w:tcW w:w="980" w:type="dxa"/>
            <w:vAlign w:val="bottom"/>
            <w:gridSpan w:val="2"/>
          </w:tcPr>
          <w:p>
            <w:pPr>
              <w:jc w:val="right"/>
              <w:ind w:right="280"/>
              <w:spacing w:after="0"/>
              <w:rPr>
                <w:sz w:val="20"/>
                <w:szCs w:val="20"/>
                <w:color w:val="auto"/>
              </w:rPr>
            </w:pPr>
            <w:r>
              <w:rPr>
                <w:rFonts w:ascii="Arial" w:cs="Arial" w:eastAsia="Arial" w:hAnsi="Arial"/>
                <w:sz w:val="16"/>
                <w:szCs w:val="16"/>
                <w:b w:val="1"/>
                <w:bCs w:val="1"/>
                <w:color w:val="auto"/>
                <w:w w:val="90"/>
              </w:rPr>
              <w:t>30-Jun-20</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55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5"/>
                <w:szCs w:val="15"/>
                <w:b w:val="1"/>
                <w:bCs w:val="1"/>
                <w:color w:val="auto"/>
              </w:rPr>
              <w:t>Allowance for loan losses</w:t>
            </w:r>
          </w:p>
        </w:tc>
        <w:tc>
          <w:tcPr>
            <w:tcW w:w="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320" w:type="dxa"/>
            <w:vAlign w:val="bottom"/>
            <w:tcBorders>
              <w:top w:val="single" w:sz="8" w:color="auto"/>
            </w:tcBorders>
            <w:shd w:val="clear" w:color="auto" w:fill="CCEEFF"/>
          </w:tcPr>
          <w:p>
            <w:pPr>
              <w:spacing w:after="0"/>
              <w:rPr>
                <w:sz w:val="16"/>
                <w:szCs w:val="16"/>
                <w:color w:val="auto"/>
              </w:rPr>
            </w:pPr>
          </w:p>
        </w:tc>
        <w:tc>
          <w:tcPr>
            <w:tcW w:w="5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320" w:type="dxa"/>
            <w:vAlign w:val="bottom"/>
            <w:tcBorders>
              <w:top w:val="single" w:sz="8" w:color="auto"/>
            </w:tcBorders>
            <w:shd w:val="clear" w:color="auto" w:fill="CCEEFF"/>
          </w:tcPr>
          <w:p>
            <w:pPr>
              <w:spacing w:after="0"/>
              <w:rPr>
                <w:sz w:val="16"/>
                <w:szCs w:val="16"/>
                <w:color w:val="auto"/>
              </w:rPr>
            </w:pPr>
          </w:p>
        </w:tc>
        <w:tc>
          <w:tcPr>
            <w:tcW w:w="5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spacing w:after="0"/>
              <w:rPr>
                <w:sz w:val="16"/>
                <w:szCs w:val="16"/>
                <w:color w:val="auto"/>
              </w:rPr>
            </w:pPr>
          </w:p>
        </w:tc>
        <w:tc>
          <w:tcPr>
            <w:tcW w:w="78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5600" w:type="dxa"/>
            <w:vAlign w:val="bottom"/>
            <w:gridSpan w:val="3"/>
          </w:tcPr>
          <w:p>
            <w:pPr>
              <w:spacing w:after="0"/>
              <w:rPr>
                <w:sz w:val="20"/>
                <w:szCs w:val="20"/>
                <w:color w:val="auto"/>
              </w:rPr>
            </w:pPr>
            <w:r>
              <w:rPr>
                <w:rFonts w:ascii="Arial" w:cs="Arial" w:eastAsia="Arial" w:hAnsi="Arial"/>
                <w:sz w:val="15"/>
                <w:szCs w:val="15"/>
                <w:color w:val="auto"/>
              </w:rPr>
              <w:t>Balance at beginning of the period</w:t>
            </w:r>
          </w:p>
        </w:tc>
        <w:tc>
          <w:tcPr>
            <w:tcW w:w="360" w:type="dxa"/>
            <w:vAlign w:val="bottom"/>
            <w:gridSpan w:val="2"/>
          </w:tcPr>
          <w:p>
            <w:pPr>
              <w:jc w:val="right"/>
              <w:ind w:right="162"/>
              <w:spacing w:after="0"/>
              <w:rPr>
                <w:sz w:val="20"/>
                <w:szCs w:val="20"/>
                <w:color w:val="auto"/>
              </w:rPr>
            </w:pPr>
            <w:r>
              <w:rPr>
                <w:rFonts w:ascii="Arial" w:cs="Arial" w:eastAsia="Arial" w:hAnsi="Arial"/>
                <w:sz w:val="16"/>
                <w:szCs w:val="16"/>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6"/>
                <w:szCs w:val="16"/>
                <w:color w:val="auto"/>
              </w:rPr>
              <w:t>41.1</w:t>
            </w:r>
          </w:p>
        </w:tc>
        <w:tc>
          <w:tcPr>
            <w:tcW w:w="380" w:type="dxa"/>
            <w:vAlign w:val="bottom"/>
            <w:gridSpan w:val="2"/>
          </w:tcPr>
          <w:p>
            <w:pPr>
              <w:jc w:val="right"/>
              <w:ind w:right="162"/>
              <w:spacing w:after="0"/>
              <w:rPr>
                <w:sz w:val="20"/>
                <w:szCs w:val="20"/>
                <w:color w:val="auto"/>
              </w:rPr>
            </w:pPr>
            <w:r>
              <w:rPr>
                <w:rFonts w:ascii="Arial" w:cs="Arial" w:eastAsia="Arial" w:hAnsi="Arial"/>
                <w:sz w:val="16"/>
                <w:szCs w:val="16"/>
                <w:color w:val="auto"/>
              </w:rPr>
              <w:t>$</w:t>
            </w:r>
          </w:p>
        </w:tc>
        <w:tc>
          <w:tcPr>
            <w:tcW w:w="740" w:type="dxa"/>
            <w:vAlign w:val="bottom"/>
            <w:gridSpan w:val="2"/>
          </w:tcPr>
          <w:p>
            <w:pPr>
              <w:jc w:val="right"/>
              <w:ind w:right="220"/>
              <w:spacing w:after="0"/>
              <w:rPr>
                <w:sz w:val="20"/>
                <w:szCs w:val="20"/>
                <w:color w:val="auto"/>
              </w:rPr>
            </w:pPr>
            <w:r>
              <w:rPr>
                <w:rFonts w:ascii="Arial" w:cs="Arial" w:eastAsia="Arial" w:hAnsi="Arial"/>
                <w:sz w:val="16"/>
                <w:szCs w:val="16"/>
                <w:color w:val="auto"/>
              </w:rPr>
              <w:t>41.2</w:t>
            </w: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6"/>
                <w:szCs w:val="16"/>
                <w:color w:val="auto"/>
              </w:rPr>
              <w:t>42.5</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80"/>
              <w:spacing w:after="0"/>
              <w:rPr>
                <w:sz w:val="20"/>
                <w:szCs w:val="20"/>
                <w:color w:val="auto"/>
              </w:rPr>
            </w:pPr>
            <w:r>
              <w:rPr>
                <w:rFonts w:ascii="Arial" w:cs="Arial" w:eastAsia="Arial" w:hAnsi="Arial"/>
                <w:sz w:val="16"/>
                <w:szCs w:val="16"/>
                <w:color w:val="auto"/>
              </w:rPr>
              <w:t>45.4</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6"/>
                <w:szCs w:val="16"/>
                <w:color w:val="auto"/>
              </w:rPr>
              <w:t>99.9</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color w:val="auto"/>
              </w:rPr>
              <w:t>Provisions (reversals)</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0.1</w:t>
            </w: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(0.1)</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(1.3)</w:t>
            </w:r>
          </w:p>
        </w:tc>
        <w:tc>
          <w:tcPr>
            <w:tcW w:w="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1.5</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(2.4)</w:t>
            </w:r>
          </w:p>
        </w:tc>
        <w:tc>
          <w:tcPr>
            <w:tcW w:w="0" w:type="dxa"/>
            <w:vAlign w:val="bottom"/>
          </w:tcPr>
          <w:p>
            <w:pPr>
              <w:spacing w:after="0"/>
              <w:rPr>
                <w:sz w:val="1"/>
                <w:szCs w:val="1"/>
                <w:color w:val="auto"/>
              </w:rPr>
            </w:pPr>
          </w:p>
        </w:tc>
      </w:tr>
      <w:tr>
        <w:trPr>
          <w:trHeight w:val="207"/>
        </w:trPr>
        <w:tc>
          <w:tcPr>
            <w:tcW w:w="5600" w:type="dxa"/>
            <w:vAlign w:val="bottom"/>
            <w:gridSpan w:val="3"/>
          </w:tcPr>
          <w:p>
            <w:pPr>
              <w:spacing w:after="0"/>
              <w:rPr>
                <w:sz w:val="20"/>
                <w:szCs w:val="20"/>
                <w:color w:val="auto"/>
              </w:rPr>
            </w:pPr>
            <w:r>
              <w:rPr>
                <w:rFonts w:ascii="Arial" w:cs="Arial" w:eastAsia="Arial" w:hAnsi="Arial"/>
                <w:sz w:val="15"/>
                <w:szCs w:val="15"/>
                <w:color w:val="auto"/>
              </w:rPr>
              <w:t>Write-offs, net of recoveries</w:t>
            </w:r>
          </w:p>
        </w:tc>
        <w:tc>
          <w:tcPr>
            <w:tcW w:w="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6"/>
                <w:szCs w:val="16"/>
                <w:color w:val="auto"/>
              </w:rPr>
              <w:t>0.2</w:t>
            </w:r>
          </w:p>
        </w:tc>
        <w:tc>
          <w:tcPr>
            <w:tcW w:w="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6"/>
                <w:szCs w:val="16"/>
                <w:color w:val="auto"/>
              </w:rPr>
              <w:t>0.0</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0.0</w:t>
            </w:r>
          </w:p>
        </w:tc>
        <w:tc>
          <w:tcPr>
            <w:tcW w:w="2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(4.4)</w:t>
            </w:r>
          </w:p>
        </w:tc>
        <w:tc>
          <w:tcPr>
            <w:tcW w:w="8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(52.1)</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5580" w:type="dxa"/>
            <w:vAlign w:val="bottom"/>
            <w:tcBorders>
              <w:top w:val="single" w:sz="8" w:color="CCEEFF"/>
              <w:bottom w:val="single" w:sz="8" w:color="CCEEFF"/>
            </w:tcBorders>
            <w:gridSpan w:val="2"/>
            <w:shd w:val="clear" w:color="auto" w:fill="CCEEFF"/>
          </w:tcPr>
          <w:p>
            <w:pPr>
              <w:spacing w:after="0" w:line="171" w:lineRule="exact"/>
              <w:rPr>
                <w:sz w:val="20"/>
                <w:szCs w:val="20"/>
                <w:color w:val="auto"/>
              </w:rPr>
            </w:pPr>
            <w:r>
              <w:rPr>
                <w:rFonts w:ascii="Arial" w:cs="Arial" w:eastAsia="Arial" w:hAnsi="Arial"/>
                <w:sz w:val="15"/>
                <w:szCs w:val="15"/>
                <w:b w:val="1"/>
                <w:bCs w:val="1"/>
                <w:color w:val="auto"/>
              </w:rPr>
              <w:t>End of period balance</w:t>
            </w:r>
          </w:p>
        </w:tc>
        <w:tc>
          <w:tcPr>
            <w:tcW w:w="40" w:type="dxa"/>
            <w:vAlign w:val="bottom"/>
            <w:tcBorders>
              <w:top w:val="single" w:sz="8" w:color="CCEEFF"/>
              <w:bottom w:val="single" w:sz="8" w:color="CCEEFF"/>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41.4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41.1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41.2</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42.5</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45.4</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2"/>
        </w:trPr>
        <w:tc>
          <w:tcPr>
            <w:tcW w:w="20" w:type="dxa"/>
            <w:vAlign w:val="bottom"/>
            <w:vMerge w:val="restart"/>
          </w:tcPr>
          <w:p>
            <w:pPr>
              <w:spacing w:after="0"/>
              <w:rPr>
                <w:sz w:val="14"/>
                <w:szCs w:val="14"/>
                <w:color w:val="auto"/>
              </w:rPr>
            </w:pPr>
          </w:p>
        </w:tc>
        <w:tc>
          <w:tcPr>
            <w:tcW w:w="55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Allowance for loan commitments and financial guarantee contract losses</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5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5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5600" w:type="dxa"/>
            <w:vAlign w:val="bottom"/>
            <w:gridSpan w:val="3"/>
          </w:tcPr>
          <w:p>
            <w:pPr>
              <w:spacing w:after="0"/>
              <w:rPr>
                <w:sz w:val="20"/>
                <w:szCs w:val="20"/>
                <w:color w:val="auto"/>
              </w:rPr>
            </w:pPr>
            <w:r>
              <w:rPr>
                <w:rFonts w:ascii="Arial" w:cs="Arial" w:eastAsia="Arial" w:hAnsi="Arial"/>
                <w:sz w:val="15"/>
                <w:szCs w:val="15"/>
                <w:color w:val="auto"/>
              </w:rPr>
              <w:t>Balance at beginning of the period</w:t>
            </w:r>
          </w:p>
        </w:tc>
        <w:tc>
          <w:tcPr>
            <w:tcW w:w="360" w:type="dxa"/>
            <w:vAlign w:val="bottom"/>
            <w:gridSpan w:val="2"/>
          </w:tcPr>
          <w:p>
            <w:pPr>
              <w:jc w:val="right"/>
              <w:ind w:right="162"/>
              <w:spacing w:after="0"/>
              <w:rPr>
                <w:sz w:val="20"/>
                <w:szCs w:val="20"/>
                <w:color w:val="auto"/>
              </w:rPr>
            </w:pPr>
            <w:r>
              <w:rPr>
                <w:rFonts w:ascii="Arial" w:cs="Arial" w:eastAsia="Arial" w:hAnsi="Arial"/>
                <w:sz w:val="16"/>
                <w:szCs w:val="16"/>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6"/>
                <w:szCs w:val="16"/>
                <w:color w:val="auto"/>
              </w:rPr>
              <w:t>2.9</w:t>
            </w:r>
          </w:p>
        </w:tc>
        <w:tc>
          <w:tcPr>
            <w:tcW w:w="380" w:type="dxa"/>
            <w:vAlign w:val="bottom"/>
            <w:gridSpan w:val="2"/>
          </w:tcPr>
          <w:p>
            <w:pPr>
              <w:jc w:val="right"/>
              <w:ind w:right="162"/>
              <w:spacing w:after="0"/>
              <w:rPr>
                <w:sz w:val="20"/>
                <w:szCs w:val="20"/>
                <w:color w:val="auto"/>
              </w:rPr>
            </w:pPr>
            <w:r>
              <w:rPr>
                <w:rFonts w:ascii="Arial" w:cs="Arial" w:eastAsia="Arial" w:hAnsi="Arial"/>
                <w:sz w:val="16"/>
                <w:szCs w:val="16"/>
                <w:color w:val="auto"/>
              </w:rPr>
              <w:t>$</w:t>
            </w:r>
          </w:p>
        </w:tc>
        <w:tc>
          <w:tcPr>
            <w:tcW w:w="740" w:type="dxa"/>
            <w:vAlign w:val="bottom"/>
            <w:gridSpan w:val="2"/>
          </w:tcPr>
          <w:p>
            <w:pPr>
              <w:jc w:val="right"/>
              <w:ind w:right="220"/>
              <w:spacing w:after="0"/>
              <w:rPr>
                <w:sz w:val="20"/>
                <w:szCs w:val="20"/>
                <w:color w:val="auto"/>
              </w:rPr>
            </w:pPr>
            <w:r>
              <w:rPr>
                <w:rFonts w:ascii="Arial" w:cs="Arial" w:eastAsia="Arial" w:hAnsi="Arial"/>
                <w:sz w:val="16"/>
                <w:szCs w:val="16"/>
                <w:color w:val="auto"/>
              </w:rPr>
              <w:t>2.9</w:t>
            </w: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2.1</w:t>
            </w:r>
          </w:p>
        </w:tc>
        <w:tc>
          <w:tcPr>
            <w:tcW w:w="280" w:type="dxa"/>
            <w:vAlign w:val="bottom"/>
          </w:tcPr>
          <w:p>
            <w:pPr>
              <w:spacing w:after="0"/>
              <w:rPr>
                <w:sz w:val="16"/>
                <w:szCs w:val="16"/>
                <w:color w:val="auto"/>
              </w:rPr>
            </w:pP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80"/>
              <w:spacing w:after="0"/>
              <w:rPr>
                <w:sz w:val="20"/>
                <w:szCs w:val="20"/>
                <w:color w:val="auto"/>
              </w:rPr>
            </w:pPr>
            <w:r>
              <w:rPr>
                <w:rFonts w:ascii="Arial" w:cs="Arial" w:eastAsia="Arial" w:hAnsi="Arial"/>
                <w:sz w:val="16"/>
                <w:szCs w:val="16"/>
                <w:color w:val="auto"/>
              </w:rPr>
              <w:t>2.1</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6"/>
                <w:szCs w:val="16"/>
                <w:color w:val="auto"/>
              </w:rPr>
              <w:t>2.4</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color w:val="auto"/>
              </w:rPr>
              <w:t>Provisions (reversals)</w:t>
            </w:r>
          </w:p>
        </w:tc>
        <w:tc>
          <w:tcPr>
            <w:tcW w:w="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0.9</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2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(0.1)</w:t>
            </w:r>
          </w:p>
        </w:tc>
        <w:tc>
          <w:tcPr>
            <w:tcW w:w="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(0.3)</w:t>
            </w:r>
          </w:p>
        </w:tc>
        <w:tc>
          <w:tcPr>
            <w:tcW w:w="0" w:type="dxa"/>
            <w:vAlign w:val="bottom"/>
          </w:tcPr>
          <w:p>
            <w:pPr>
              <w:spacing w:after="0"/>
              <w:rPr>
                <w:sz w:val="1"/>
                <w:szCs w:val="1"/>
                <w:color w:val="auto"/>
              </w:rPr>
            </w:pPr>
          </w:p>
        </w:tc>
      </w:tr>
      <w:tr>
        <w:trPr>
          <w:trHeight w:val="240"/>
        </w:trPr>
        <w:tc>
          <w:tcPr>
            <w:tcW w:w="5600" w:type="dxa"/>
            <w:vAlign w:val="bottom"/>
            <w:gridSpan w:val="3"/>
          </w:tcPr>
          <w:p>
            <w:pPr>
              <w:spacing w:after="0" w:line="171" w:lineRule="exact"/>
              <w:rPr>
                <w:sz w:val="20"/>
                <w:szCs w:val="20"/>
                <w:color w:val="auto"/>
              </w:rPr>
            </w:pPr>
            <w:r>
              <w:rPr>
                <w:rFonts w:ascii="Arial" w:cs="Arial" w:eastAsia="Arial" w:hAnsi="Arial"/>
                <w:sz w:val="15"/>
                <w:szCs w:val="15"/>
                <w:color w:val="auto"/>
              </w:rPr>
              <w:t>End of period balance</w:t>
            </w:r>
          </w:p>
        </w:tc>
        <w:tc>
          <w:tcPr>
            <w:tcW w:w="40" w:type="dxa"/>
            <w:vAlign w:val="bottom"/>
          </w:tcPr>
          <w:p>
            <w:pPr>
              <w:spacing w:after="0"/>
              <w:rPr>
                <w:sz w:val="20"/>
                <w:szCs w:val="20"/>
                <w:color w:val="auto"/>
              </w:rPr>
            </w:pPr>
          </w:p>
        </w:tc>
        <w:tc>
          <w:tcPr>
            <w:tcW w:w="320" w:type="dxa"/>
            <w:vAlign w:val="bottom"/>
            <w:tcBorders>
              <w:top w:val="single" w:sz="8" w:color="auto"/>
              <w:bottom w:val="single" w:sz="8" w:color="auto"/>
            </w:tcBorders>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3.8</w:t>
            </w: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20" w:type="dxa"/>
            <w:vAlign w:val="bottom"/>
            <w:tcBorders>
              <w:top w:val="single" w:sz="8" w:color="auto"/>
              <w:bottom w:val="single" w:sz="8" w:color="auto"/>
            </w:tcBorders>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w:t>
            </w: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w:t>
            </w:r>
          </w:p>
        </w:tc>
        <w:tc>
          <w:tcPr>
            <w:tcW w:w="280" w:type="dxa"/>
            <w:vAlign w:val="bottom"/>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w:t>
            </w:r>
          </w:p>
        </w:tc>
        <w:tc>
          <w:tcPr>
            <w:tcW w:w="280" w:type="dxa"/>
            <w:vAlign w:val="bottom"/>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550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40" w:type="dxa"/>
            <w:vAlign w:val="bottom"/>
            <w:tcBorders>
              <w:top w:val="single" w:sz="8" w:color="CCEEFF"/>
            </w:tcBorders>
            <w:shd w:val="clear" w:color="auto" w:fill="CCEEFF"/>
          </w:tcPr>
          <w:p>
            <w:pPr>
              <w:spacing w:after="0"/>
              <w:rPr>
                <w:sz w:val="14"/>
                <w:szCs w:val="14"/>
                <w:color w:val="auto"/>
              </w:rPr>
            </w:pPr>
          </w:p>
        </w:tc>
        <w:tc>
          <w:tcPr>
            <w:tcW w:w="320" w:type="dxa"/>
            <w:vAlign w:val="bottom"/>
            <w:tcBorders>
              <w:top w:val="single" w:sz="8" w:color="auto"/>
            </w:tcBorders>
            <w:shd w:val="clear" w:color="auto" w:fill="CCEEFF"/>
          </w:tcPr>
          <w:p>
            <w:pPr>
              <w:spacing w:after="0"/>
              <w:rPr>
                <w:sz w:val="14"/>
                <w:szCs w:val="14"/>
                <w:color w:val="auto"/>
              </w:rPr>
            </w:pPr>
          </w:p>
        </w:tc>
        <w:tc>
          <w:tcPr>
            <w:tcW w:w="54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320" w:type="dxa"/>
            <w:vAlign w:val="bottom"/>
            <w:tcBorders>
              <w:top w:val="single" w:sz="8" w:color="auto"/>
            </w:tcBorders>
            <w:shd w:val="clear" w:color="auto" w:fill="CCEEFF"/>
          </w:tcPr>
          <w:p>
            <w:pPr>
              <w:spacing w:after="0"/>
              <w:rPr>
                <w:sz w:val="14"/>
                <w:szCs w:val="14"/>
                <w:color w:val="auto"/>
              </w:rPr>
            </w:pPr>
          </w:p>
        </w:tc>
        <w:tc>
          <w:tcPr>
            <w:tcW w:w="5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80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800" w:type="dxa"/>
            <w:vAlign w:val="bottom"/>
            <w:tcBorders>
              <w:top w:val="single" w:sz="8" w:color="auto"/>
            </w:tcBorders>
            <w:shd w:val="clear" w:color="auto" w:fill="CCEEFF"/>
          </w:tcPr>
          <w:p>
            <w:pPr>
              <w:spacing w:after="0"/>
              <w:rPr>
                <w:sz w:val="14"/>
                <w:szCs w:val="14"/>
                <w:color w:val="auto"/>
              </w:rPr>
            </w:pPr>
          </w:p>
        </w:tc>
        <w:tc>
          <w:tcPr>
            <w:tcW w:w="18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5580" w:type="dxa"/>
            <w:vAlign w:val="bottom"/>
            <w:gridSpan w:val="2"/>
          </w:tcPr>
          <w:p>
            <w:pPr>
              <w:spacing w:after="0"/>
              <w:rPr>
                <w:sz w:val="20"/>
                <w:szCs w:val="20"/>
                <w:color w:val="auto"/>
              </w:rPr>
            </w:pPr>
            <w:r>
              <w:rPr>
                <w:rFonts w:ascii="Arial" w:cs="Arial" w:eastAsia="Arial" w:hAnsi="Arial"/>
                <w:sz w:val="15"/>
                <w:szCs w:val="15"/>
                <w:b w:val="1"/>
                <w:bCs w:val="1"/>
                <w:color w:val="auto"/>
              </w:rPr>
              <w:t>Allowance for Investment Portfolio losses</w:t>
            </w:r>
          </w:p>
        </w:tc>
        <w:tc>
          <w:tcPr>
            <w:tcW w:w="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color w:val="auto"/>
              </w:rPr>
              <w:t>Balance at beginning of the period</w:t>
            </w:r>
          </w:p>
        </w:tc>
        <w:tc>
          <w:tcPr>
            <w:tcW w:w="360" w:type="dxa"/>
            <w:vAlign w:val="bottom"/>
            <w:gridSpan w:val="2"/>
            <w:shd w:val="clear" w:color="auto" w:fill="CCEEFF"/>
          </w:tcPr>
          <w:p>
            <w:pPr>
              <w:jc w:val="right"/>
              <w:ind w:right="162"/>
              <w:spacing w:after="0"/>
              <w:rPr>
                <w:sz w:val="20"/>
                <w:szCs w:val="20"/>
                <w:color w:val="auto"/>
              </w:rPr>
            </w:pPr>
            <w:r>
              <w:rPr>
                <w:rFonts w:ascii="Arial" w:cs="Arial" w:eastAsia="Arial" w:hAnsi="Arial"/>
                <w:sz w:val="16"/>
                <w:szCs w:val="16"/>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0.6</w:t>
            </w:r>
          </w:p>
        </w:tc>
        <w:tc>
          <w:tcPr>
            <w:tcW w:w="380" w:type="dxa"/>
            <w:vAlign w:val="bottom"/>
            <w:gridSpan w:val="2"/>
            <w:shd w:val="clear" w:color="auto" w:fill="CCEEFF"/>
          </w:tcPr>
          <w:p>
            <w:pPr>
              <w:jc w:val="right"/>
              <w:ind w:right="162"/>
              <w:spacing w:after="0"/>
              <w:rPr>
                <w:sz w:val="20"/>
                <w:szCs w:val="20"/>
                <w:color w:val="auto"/>
              </w:rPr>
            </w:pPr>
            <w:r>
              <w:rPr>
                <w:rFonts w:ascii="Arial" w:cs="Arial" w:eastAsia="Arial" w:hAnsi="Arial"/>
                <w:sz w:val="16"/>
                <w:szCs w:val="16"/>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0.5</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0.3</w:t>
            </w:r>
          </w:p>
        </w:tc>
        <w:tc>
          <w:tcPr>
            <w:tcW w:w="280" w:type="dxa"/>
            <w:vAlign w:val="bottom"/>
            <w:shd w:val="clear" w:color="auto" w:fill="CCEEFF"/>
          </w:tcPr>
          <w:p>
            <w:pPr>
              <w:spacing w:after="0"/>
              <w:rPr>
                <w:sz w:val="17"/>
                <w:szCs w:val="17"/>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07"/>
        </w:trPr>
        <w:tc>
          <w:tcPr>
            <w:tcW w:w="5600" w:type="dxa"/>
            <w:vAlign w:val="bottom"/>
            <w:gridSpan w:val="3"/>
          </w:tcPr>
          <w:p>
            <w:pPr>
              <w:spacing w:after="0"/>
              <w:rPr>
                <w:sz w:val="20"/>
                <w:szCs w:val="20"/>
                <w:color w:val="auto"/>
              </w:rPr>
            </w:pPr>
            <w:r>
              <w:rPr>
                <w:rFonts w:ascii="Arial" w:cs="Arial" w:eastAsia="Arial" w:hAnsi="Arial"/>
                <w:sz w:val="15"/>
                <w:szCs w:val="15"/>
                <w:color w:val="auto"/>
              </w:rPr>
              <w:t>Provisions (reversals)</w:t>
            </w:r>
          </w:p>
        </w:tc>
        <w:tc>
          <w:tcPr>
            <w:tcW w:w="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6"/>
                <w:szCs w:val="16"/>
                <w:color w:val="auto"/>
              </w:rPr>
              <w:t>0.3</w:t>
            </w:r>
          </w:p>
        </w:tc>
        <w:tc>
          <w:tcPr>
            <w:tcW w:w="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6"/>
                <w:szCs w:val="16"/>
                <w:color w:val="auto"/>
              </w:rPr>
              <w:t>0.1</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0.2</w:t>
            </w:r>
          </w:p>
        </w:tc>
        <w:tc>
          <w:tcPr>
            <w:tcW w:w="2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2"/>
          </w:tcPr>
          <w:p>
            <w:pPr>
              <w:jc w:val="right"/>
              <w:ind w:right="280"/>
              <w:spacing w:after="0"/>
              <w:rPr>
                <w:sz w:val="20"/>
                <w:szCs w:val="20"/>
                <w:color w:val="auto"/>
              </w:rPr>
            </w:pPr>
            <w:r>
              <w:rPr>
                <w:rFonts w:ascii="Arial" w:cs="Arial" w:eastAsia="Arial" w:hAnsi="Arial"/>
                <w:sz w:val="16"/>
                <w:szCs w:val="16"/>
                <w:color w:val="auto"/>
              </w:rPr>
              <w:t>0.1</w:t>
            </w:r>
          </w:p>
        </w:tc>
        <w:tc>
          <w:tcPr>
            <w:tcW w:w="80" w:type="dxa"/>
            <w:vAlign w:val="bottom"/>
          </w:tcPr>
          <w:p>
            <w:pPr>
              <w:spacing w:after="0"/>
              <w:rPr>
                <w:sz w:val="17"/>
                <w:szCs w:val="17"/>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5580" w:type="dxa"/>
            <w:vAlign w:val="bottom"/>
            <w:tcBorders>
              <w:top w:val="single" w:sz="8" w:color="CCEEFF"/>
              <w:bottom w:val="single" w:sz="8" w:color="CCEEFF"/>
            </w:tcBorders>
            <w:gridSpan w:val="2"/>
            <w:shd w:val="clear" w:color="auto" w:fill="CCEEFF"/>
          </w:tcPr>
          <w:p>
            <w:pPr>
              <w:spacing w:after="0" w:line="171" w:lineRule="exact"/>
              <w:rPr>
                <w:sz w:val="20"/>
                <w:szCs w:val="20"/>
                <w:color w:val="auto"/>
              </w:rPr>
            </w:pPr>
            <w:r>
              <w:rPr>
                <w:rFonts w:ascii="Arial" w:cs="Arial" w:eastAsia="Arial" w:hAnsi="Arial"/>
                <w:sz w:val="15"/>
                <w:szCs w:val="15"/>
                <w:b w:val="1"/>
                <w:bCs w:val="1"/>
                <w:color w:val="auto"/>
              </w:rPr>
              <w:t>End of period balance</w:t>
            </w:r>
          </w:p>
        </w:tc>
        <w:tc>
          <w:tcPr>
            <w:tcW w:w="40" w:type="dxa"/>
            <w:vAlign w:val="bottom"/>
            <w:tcBorders>
              <w:top w:val="single" w:sz="8" w:color="CCEEFF"/>
              <w:bottom w:val="single" w:sz="8" w:color="CCEEFF"/>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0.5</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0.3</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0.2</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2"/>
        </w:trPr>
        <w:tc>
          <w:tcPr>
            <w:tcW w:w="20" w:type="dxa"/>
            <w:vAlign w:val="bottom"/>
            <w:vMerge w:val="restart"/>
          </w:tcPr>
          <w:p>
            <w:pPr>
              <w:spacing w:after="0"/>
              <w:rPr>
                <w:sz w:val="14"/>
                <w:szCs w:val="14"/>
                <w:color w:val="auto"/>
              </w:rPr>
            </w:pPr>
          </w:p>
        </w:tc>
        <w:tc>
          <w:tcPr>
            <w:tcW w:w="55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9"/>
        </w:trPr>
        <w:tc>
          <w:tcPr>
            <w:tcW w:w="20" w:type="dxa"/>
            <w:vAlign w:val="bottom"/>
            <w:vMerge w:val="continue"/>
          </w:tcPr>
          <w:p>
            <w:pPr>
              <w:spacing w:after="0"/>
              <w:rPr>
                <w:sz w:val="19"/>
                <w:szCs w:val="19"/>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Total allowance for losses</w:t>
            </w:r>
          </w:p>
        </w:tc>
        <w:tc>
          <w:tcPr>
            <w:tcW w:w="360" w:type="dxa"/>
            <w:vAlign w:val="bottom"/>
            <w:gridSpan w:val="2"/>
            <w:shd w:val="clear" w:color="auto" w:fill="CCEEFF"/>
          </w:tcPr>
          <w:p>
            <w:pPr>
              <w:jc w:val="right"/>
              <w:ind w:right="162"/>
              <w:spacing w:after="0"/>
              <w:rPr>
                <w:sz w:val="20"/>
                <w:szCs w:val="20"/>
                <w:color w:val="auto"/>
              </w:rPr>
            </w:pPr>
            <w:r>
              <w:rPr>
                <w:rFonts w:ascii="Arial" w:cs="Arial" w:eastAsia="Arial" w:hAnsi="Arial"/>
                <w:sz w:val="16"/>
                <w:szCs w:val="16"/>
                <w:b w:val="1"/>
                <w:bCs w:val="1"/>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46.1</w:t>
            </w:r>
          </w:p>
        </w:tc>
        <w:tc>
          <w:tcPr>
            <w:tcW w:w="380" w:type="dxa"/>
            <w:vAlign w:val="bottom"/>
            <w:gridSpan w:val="2"/>
            <w:shd w:val="clear" w:color="auto" w:fill="CCEEFF"/>
          </w:tcPr>
          <w:p>
            <w:pPr>
              <w:jc w:val="right"/>
              <w:ind w:right="162"/>
              <w:spacing w:after="0"/>
              <w:rPr>
                <w:sz w:val="20"/>
                <w:szCs w:val="20"/>
                <w:color w:val="auto"/>
              </w:rPr>
            </w:pPr>
            <w:r>
              <w:rPr>
                <w:rFonts w:ascii="Arial" w:cs="Arial" w:eastAsia="Arial" w:hAnsi="Arial"/>
                <w:sz w:val="16"/>
                <w:szCs w:val="16"/>
                <w:b w:val="1"/>
                <w:bCs w:val="1"/>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44.6</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44.6</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44.9</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47.8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2"/>
        </w:trPr>
        <w:tc>
          <w:tcPr>
            <w:tcW w:w="20" w:type="dxa"/>
            <w:vAlign w:val="bottom"/>
            <w:vMerge w:val="restart"/>
          </w:tcPr>
          <w:p>
            <w:pPr>
              <w:spacing w:after="0"/>
              <w:rPr>
                <w:sz w:val="14"/>
                <w:szCs w:val="14"/>
                <w:color w:val="auto"/>
              </w:rPr>
            </w:pPr>
          </w:p>
        </w:tc>
        <w:tc>
          <w:tcPr>
            <w:tcW w:w="55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Total allowance for losses to Credit Portfolio</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0.71%</w:t>
            </w: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0.73%</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0.75%</w:t>
            </w:r>
          </w:p>
        </w:tc>
        <w:tc>
          <w:tcPr>
            <w:tcW w:w="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0.84%</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0.95%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580" w:type="dxa"/>
            <w:vAlign w:val="bottom"/>
            <w:gridSpan w:val="2"/>
          </w:tcPr>
          <w:p>
            <w:pPr>
              <w:spacing w:after="0"/>
              <w:rPr>
                <w:sz w:val="20"/>
                <w:szCs w:val="20"/>
                <w:color w:val="auto"/>
              </w:rPr>
            </w:pPr>
            <w:r>
              <w:rPr>
                <w:rFonts w:ascii="Arial" w:cs="Arial" w:eastAsia="Arial" w:hAnsi="Arial"/>
                <w:sz w:val="15"/>
                <w:szCs w:val="15"/>
                <w:b w:val="1"/>
                <w:bCs w:val="1"/>
                <w:color w:val="auto"/>
              </w:rPr>
              <w:t>Credit-impaired loans to Loan Portfolio</w:t>
            </w:r>
          </w:p>
        </w:tc>
        <w:tc>
          <w:tcPr>
            <w:tcW w:w="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0.20%</w:t>
            </w: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0.21%</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0.22%</w:t>
            </w:r>
          </w:p>
        </w:tc>
        <w:tc>
          <w:tcPr>
            <w:tcW w:w="80" w:type="dxa"/>
            <w:vAlign w:val="bottom"/>
          </w:tcPr>
          <w:p>
            <w:pPr>
              <w:spacing w:after="0"/>
              <w:rPr>
                <w:sz w:val="16"/>
                <w:szCs w:val="16"/>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0.00%</w:t>
            </w:r>
          </w:p>
        </w:tc>
        <w:tc>
          <w:tcPr>
            <w:tcW w:w="80" w:type="dxa"/>
            <w:vAlign w:val="bottom"/>
          </w:tcPr>
          <w:p>
            <w:pPr>
              <w:spacing w:after="0"/>
              <w:rPr>
                <w:sz w:val="16"/>
                <w:szCs w:val="16"/>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0.00%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Total allowance for losses to credit-impaired loans (times)</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4.4</w:t>
            </w: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4.2</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4.2</w:t>
            </w:r>
          </w:p>
        </w:tc>
        <w:tc>
          <w:tcPr>
            <w:tcW w:w="2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b w:val="1"/>
                <w:bCs w:val="1"/>
                <w:color w:val="auto"/>
              </w:rPr>
              <w:t>n.m.</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n.m.</w:t>
            </w: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Stage 1 (low risk) to Total Credit Portfolio</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96%</w:t>
            </w: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95%</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94%</w:t>
            </w:r>
          </w:p>
        </w:tc>
        <w:tc>
          <w:tcPr>
            <w:tcW w:w="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94%</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90%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580" w:type="dxa"/>
            <w:vAlign w:val="bottom"/>
            <w:gridSpan w:val="2"/>
          </w:tcPr>
          <w:p>
            <w:pPr>
              <w:spacing w:after="0"/>
              <w:rPr>
                <w:sz w:val="20"/>
                <w:szCs w:val="20"/>
                <w:color w:val="auto"/>
              </w:rPr>
            </w:pPr>
            <w:r>
              <w:rPr>
                <w:rFonts w:ascii="Arial" w:cs="Arial" w:eastAsia="Arial" w:hAnsi="Arial"/>
                <w:sz w:val="15"/>
                <w:szCs w:val="15"/>
                <w:b w:val="1"/>
                <w:bCs w:val="1"/>
                <w:color w:val="auto"/>
              </w:rPr>
              <w:t>Stage 2 (increased risk) to Total Credit Portfolio</w:t>
            </w:r>
          </w:p>
        </w:tc>
        <w:tc>
          <w:tcPr>
            <w:tcW w:w="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4%</w:t>
            </w: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5%</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6%</w:t>
            </w:r>
          </w:p>
        </w:tc>
        <w:tc>
          <w:tcPr>
            <w:tcW w:w="80" w:type="dxa"/>
            <w:vAlign w:val="bottom"/>
          </w:tcPr>
          <w:p>
            <w:pPr>
              <w:spacing w:after="0"/>
              <w:rPr>
                <w:sz w:val="16"/>
                <w:szCs w:val="16"/>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6%</w:t>
            </w:r>
          </w:p>
        </w:tc>
        <w:tc>
          <w:tcPr>
            <w:tcW w:w="80" w:type="dxa"/>
            <w:vAlign w:val="bottom"/>
          </w:tcPr>
          <w:p>
            <w:pPr>
              <w:spacing w:after="0"/>
              <w:rPr>
                <w:sz w:val="16"/>
                <w:szCs w:val="16"/>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580" w:type="dxa"/>
            <w:vAlign w:val="bottom"/>
            <w:gridSpan w:val="2"/>
            <w:shd w:val="clear" w:color="auto" w:fill="CCEEFF"/>
          </w:tcPr>
          <w:p>
            <w:pPr>
              <w:spacing w:after="0"/>
              <w:rPr>
                <w:sz w:val="20"/>
                <w:szCs w:val="20"/>
                <w:color w:val="auto"/>
              </w:rPr>
            </w:pPr>
            <w:r>
              <w:rPr>
                <w:rFonts w:ascii="Arial" w:cs="Arial" w:eastAsia="Arial" w:hAnsi="Arial"/>
                <w:sz w:val="15"/>
                <w:szCs w:val="15"/>
                <w:b w:val="1"/>
                <w:bCs w:val="1"/>
                <w:color w:val="auto"/>
              </w:rPr>
              <w:t>Stage 3 (credit impaired) to Total Credit Portfolio</w:t>
            </w:r>
          </w:p>
        </w:tc>
        <w:tc>
          <w:tcPr>
            <w:tcW w:w="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0%</w:t>
            </w:r>
          </w:p>
        </w:tc>
        <w:tc>
          <w:tcPr>
            <w:tcW w:w="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0%</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0%</w:t>
            </w: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6"/>
          <w:szCs w:val="16"/>
          <w:color w:val="auto"/>
        </w:rPr>
        <w:t>"n.m." means not meaningful.</w:t>
      </w:r>
    </w:p>
    <w:p>
      <w:pPr>
        <w:spacing w:after="0" w:line="207" w:lineRule="exact"/>
        <w:rPr>
          <w:sz w:val="20"/>
          <w:szCs w:val="20"/>
          <w:color w:val="auto"/>
        </w:rPr>
      </w:pPr>
    </w:p>
    <w:p>
      <w:pPr>
        <w:jc w:val="both"/>
        <w:ind w:right="80"/>
        <w:spacing w:after="0" w:line="264" w:lineRule="auto"/>
        <w:rPr>
          <w:sz w:val="20"/>
          <w:szCs w:val="20"/>
          <w:color w:val="auto"/>
        </w:rPr>
      </w:pPr>
      <w:r>
        <w:rPr>
          <w:rFonts w:ascii="Arial" w:cs="Arial" w:eastAsia="Arial" w:hAnsi="Arial"/>
          <w:sz w:val="16"/>
          <w:szCs w:val="16"/>
          <w:color w:val="auto"/>
        </w:rPr>
        <w:t>As of June 30, 2021, the total allowance for credit losses increased to $46.1 million, representing a coverage ratio to the Credit Portfolio of 71 bps, compared to $44.6 million, or 73 bps, at the end of 1Q21. The quarterly increase was mostly related to strong credit origination, having 96% of total credits classified as Stage 1 (low risk) under IFRS 9 as of June 30, 2021. The YoY decrease compared to $47.8 million, or 95 bps, at the end of 2Q20, was mostly associated to the Bank’s improved mix of its Credit Portfolio exposure, having reduced its Stage 2 (increased risk) portfolio to 4% from 10% a year ago.</w:t>
      </w:r>
    </w:p>
    <w:p>
      <w:pPr>
        <w:spacing w:after="0" w:line="167" w:lineRule="exact"/>
        <w:rPr>
          <w:sz w:val="20"/>
          <w:szCs w:val="20"/>
          <w:color w:val="auto"/>
        </w:rPr>
      </w:pPr>
    </w:p>
    <w:p>
      <w:pPr>
        <w:jc w:val="both"/>
        <w:ind w:right="80"/>
        <w:spacing w:after="0" w:line="284" w:lineRule="auto"/>
        <w:rPr>
          <w:sz w:val="20"/>
          <w:szCs w:val="20"/>
          <w:color w:val="auto"/>
        </w:rPr>
      </w:pPr>
      <w:r>
        <w:rPr>
          <w:rFonts w:ascii="Arial" w:cs="Arial" w:eastAsia="Arial" w:hAnsi="Arial"/>
          <w:sz w:val="16"/>
          <w:szCs w:val="16"/>
          <w:color w:val="auto"/>
        </w:rPr>
        <w:t>As of June 30, 2021, asset quality remained sound, with credit-impaired loans (“NPL”) totaling $11 million, unchanged from the previous quarter, representing 0.20% of the total Loan Portfolio, compared to 0.21% in the previous quarter and to 0% of the total Loan Portfolio a year ago.</w:t>
      </w:r>
    </w:p>
    <w:p>
      <w:pPr>
        <w:spacing w:after="0" w:line="346" w:lineRule="exact"/>
        <w:rPr>
          <w:sz w:val="20"/>
          <w:szCs w:val="20"/>
          <w:color w:val="auto"/>
        </w:rPr>
      </w:pPr>
    </w:p>
    <w:p>
      <w:pPr>
        <w:jc w:val="right"/>
        <w:spacing w:after="0"/>
        <w:rPr>
          <w:sz w:val="20"/>
          <w:szCs w:val="20"/>
          <w:color w:val="auto"/>
        </w:rPr>
      </w:pPr>
      <w:r>
        <w:rPr>
          <w:rFonts w:ascii="Arial" w:cs="Arial" w:eastAsia="Arial" w:hAnsi="Arial"/>
          <w:sz w:val="16"/>
          <w:szCs w:val="16"/>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OPERATING EXPENSES</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138"/>
        </w:trPr>
        <w:tc>
          <w:tcPr>
            <w:tcW w:w="4020" w:type="dxa"/>
            <w:vAlign w:val="bottom"/>
          </w:tcPr>
          <w:p>
            <w:pPr>
              <w:spacing w:after="0"/>
              <w:rPr>
                <w:sz w:val="20"/>
                <w:szCs w:val="20"/>
                <w:color w:val="auto"/>
              </w:rPr>
            </w:pPr>
            <w:r>
              <w:rPr>
                <w:rFonts w:ascii="Arial" w:cs="Arial" w:eastAsia="Arial" w:hAnsi="Arial"/>
                <w:sz w:val="11"/>
                <w:szCs w:val="11"/>
                <w:color w:val="auto"/>
              </w:rPr>
              <w:t>(US$ million, except percentages)</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380"/>
              <w:spacing w:after="0"/>
              <w:rPr>
                <w:sz w:val="20"/>
                <w:szCs w:val="20"/>
                <w:color w:val="auto"/>
              </w:rPr>
            </w:pPr>
            <w:r>
              <w:rPr>
                <w:rFonts w:ascii="Arial" w:cs="Arial" w:eastAsia="Arial" w:hAnsi="Arial"/>
                <w:sz w:val="11"/>
                <w:szCs w:val="11"/>
                <w:b w:val="1"/>
                <w:bCs w:val="1"/>
                <w:color w:val="auto"/>
              </w:rPr>
              <w:t>2Q21</w:t>
            </w:r>
          </w:p>
        </w:tc>
        <w:tc>
          <w:tcPr>
            <w:tcW w:w="100" w:type="dxa"/>
            <w:vAlign w:val="bottom"/>
          </w:tcPr>
          <w:p>
            <w:pPr>
              <w:spacing w:after="0"/>
              <w:rPr>
                <w:sz w:val="11"/>
                <w:szCs w:val="11"/>
                <w:color w:val="auto"/>
              </w:rPr>
            </w:pPr>
          </w:p>
        </w:tc>
        <w:tc>
          <w:tcPr>
            <w:tcW w:w="800" w:type="dxa"/>
            <w:vAlign w:val="bottom"/>
            <w:gridSpan w:val="2"/>
          </w:tcPr>
          <w:p>
            <w:pPr>
              <w:jc w:val="right"/>
              <w:ind w:right="380"/>
              <w:spacing w:after="0"/>
              <w:rPr>
                <w:sz w:val="20"/>
                <w:szCs w:val="20"/>
                <w:color w:val="auto"/>
              </w:rPr>
            </w:pPr>
            <w:r>
              <w:rPr>
                <w:rFonts w:ascii="Arial" w:cs="Arial" w:eastAsia="Arial" w:hAnsi="Arial"/>
                <w:sz w:val="11"/>
                <w:szCs w:val="11"/>
                <w:b w:val="1"/>
                <w:bCs w:val="1"/>
                <w:color w:val="auto"/>
              </w:rPr>
              <w:t>1Q21</w:t>
            </w:r>
          </w:p>
        </w:tc>
        <w:tc>
          <w:tcPr>
            <w:tcW w:w="120" w:type="dxa"/>
            <w:vAlign w:val="bottom"/>
          </w:tcPr>
          <w:p>
            <w:pPr>
              <w:spacing w:after="0"/>
              <w:rPr>
                <w:sz w:val="11"/>
                <w:szCs w:val="11"/>
                <w:color w:val="auto"/>
              </w:rPr>
            </w:pPr>
          </w:p>
        </w:tc>
        <w:tc>
          <w:tcPr>
            <w:tcW w:w="900" w:type="dxa"/>
            <w:vAlign w:val="bottom"/>
            <w:gridSpan w:val="2"/>
          </w:tcPr>
          <w:p>
            <w:pPr>
              <w:jc w:val="right"/>
              <w:ind w:right="500"/>
              <w:spacing w:after="0"/>
              <w:rPr>
                <w:sz w:val="20"/>
                <w:szCs w:val="20"/>
                <w:color w:val="auto"/>
              </w:rPr>
            </w:pPr>
            <w:r>
              <w:rPr>
                <w:rFonts w:ascii="Arial" w:cs="Arial" w:eastAsia="Arial" w:hAnsi="Arial"/>
                <w:sz w:val="11"/>
                <w:szCs w:val="11"/>
                <w:b w:val="1"/>
                <w:bCs w:val="1"/>
                <w:color w:val="auto"/>
              </w:rPr>
              <w:t>2Q20</w:t>
            </w:r>
          </w:p>
        </w:tc>
        <w:tc>
          <w:tcPr>
            <w:tcW w:w="900" w:type="dxa"/>
            <w:vAlign w:val="bottom"/>
            <w:gridSpan w:val="2"/>
          </w:tcPr>
          <w:p>
            <w:pPr>
              <w:jc w:val="right"/>
              <w:ind w:right="400"/>
              <w:spacing w:after="0"/>
              <w:rPr>
                <w:sz w:val="20"/>
                <w:szCs w:val="20"/>
                <w:color w:val="auto"/>
              </w:rPr>
            </w:pPr>
            <w:r>
              <w:rPr>
                <w:rFonts w:ascii="Arial" w:cs="Arial" w:eastAsia="Arial" w:hAnsi="Arial"/>
                <w:sz w:val="11"/>
                <w:szCs w:val="11"/>
                <w:b w:val="1"/>
                <w:bCs w:val="1"/>
                <w:color w:val="auto"/>
              </w:rPr>
              <w:t>QoQ (%)</w:t>
            </w:r>
          </w:p>
        </w:tc>
        <w:tc>
          <w:tcPr>
            <w:tcW w:w="900" w:type="dxa"/>
            <w:vAlign w:val="bottom"/>
            <w:gridSpan w:val="3"/>
          </w:tcPr>
          <w:p>
            <w:pPr>
              <w:jc w:val="right"/>
              <w:ind w:right="377"/>
              <w:spacing w:after="0"/>
              <w:rPr>
                <w:sz w:val="20"/>
                <w:szCs w:val="20"/>
                <w:color w:val="auto"/>
              </w:rPr>
            </w:pPr>
            <w:r>
              <w:rPr>
                <w:rFonts w:ascii="Arial" w:cs="Arial" w:eastAsia="Arial" w:hAnsi="Arial"/>
                <w:sz w:val="11"/>
                <w:szCs w:val="11"/>
                <w:b w:val="1"/>
                <w:bCs w:val="1"/>
                <w:color w:val="auto"/>
              </w:rPr>
              <w:t>YoY (%)</w:t>
            </w:r>
          </w:p>
        </w:tc>
        <w:tc>
          <w:tcPr>
            <w:tcW w:w="800" w:type="dxa"/>
            <w:vAlign w:val="bottom"/>
            <w:gridSpan w:val="2"/>
          </w:tcPr>
          <w:p>
            <w:pPr>
              <w:jc w:val="right"/>
              <w:ind w:right="380"/>
              <w:spacing w:after="0"/>
              <w:rPr>
                <w:sz w:val="20"/>
                <w:szCs w:val="20"/>
                <w:color w:val="auto"/>
              </w:rPr>
            </w:pPr>
            <w:r>
              <w:rPr>
                <w:rFonts w:ascii="Arial" w:cs="Arial" w:eastAsia="Arial" w:hAnsi="Arial"/>
                <w:sz w:val="11"/>
                <w:szCs w:val="11"/>
                <w:b w:val="1"/>
                <w:bCs w:val="1"/>
                <w:color w:val="auto"/>
              </w:rPr>
              <w:t>6M21</w:t>
            </w:r>
          </w:p>
        </w:tc>
        <w:tc>
          <w:tcPr>
            <w:tcW w:w="100" w:type="dxa"/>
            <w:vAlign w:val="bottom"/>
          </w:tcPr>
          <w:p>
            <w:pPr>
              <w:spacing w:after="0"/>
              <w:rPr>
                <w:sz w:val="11"/>
                <w:szCs w:val="11"/>
                <w:color w:val="auto"/>
              </w:rPr>
            </w:pPr>
          </w:p>
        </w:tc>
        <w:tc>
          <w:tcPr>
            <w:tcW w:w="900" w:type="dxa"/>
            <w:vAlign w:val="bottom"/>
            <w:gridSpan w:val="2"/>
          </w:tcPr>
          <w:p>
            <w:pPr>
              <w:jc w:val="right"/>
              <w:ind w:right="480"/>
              <w:spacing w:after="0"/>
              <w:rPr>
                <w:sz w:val="20"/>
                <w:szCs w:val="20"/>
                <w:color w:val="auto"/>
              </w:rPr>
            </w:pPr>
            <w:r>
              <w:rPr>
                <w:rFonts w:ascii="Arial" w:cs="Arial" w:eastAsia="Arial" w:hAnsi="Arial"/>
                <w:sz w:val="11"/>
                <w:szCs w:val="11"/>
                <w:b w:val="1"/>
                <w:bCs w:val="1"/>
                <w:color w:val="auto"/>
              </w:rPr>
              <w:t>6M20</w:t>
            </w:r>
          </w:p>
        </w:tc>
        <w:tc>
          <w:tcPr>
            <w:tcW w:w="70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YoY (%)</w:t>
            </w:r>
          </w:p>
        </w:tc>
      </w:tr>
      <w:tr>
        <w:trPr>
          <w:trHeight w:val="114"/>
        </w:trPr>
        <w:tc>
          <w:tcPr>
            <w:tcW w:w="4020" w:type="dxa"/>
            <w:vAlign w:val="bottom"/>
            <w:tcBorders>
              <w:top w:val="single" w:sz="8" w:color="auto"/>
            </w:tcBorders>
            <w:shd w:val="clear" w:color="auto" w:fill="CCEEFF"/>
          </w:tcPr>
          <w:p>
            <w:pPr>
              <w:spacing w:after="0" w:line="114" w:lineRule="exact"/>
              <w:rPr>
                <w:sz w:val="20"/>
                <w:szCs w:val="20"/>
                <w:color w:val="auto"/>
              </w:rPr>
            </w:pPr>
            <w:r>
              <w:rPr>
                <w:rFonts w:ascii="Arial" w:cs="Arial" w:eastAsia="Arial" w:hAnsi="Arial"/>
                <w:sz w:val="11"/>
                <w:szCs w:val="11"/>
                <w:b w:val="1"/>
                <w:bCs w:val="1"/>
                <w:color w:val="auto"/>
              </w:rPr>
              <w:t>Operating expenses</w:t>
            </w: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34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34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34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r>
      <w:tr>
        <w:trPr>
          <w:trHeight w:val="122"/>
        </w:trPr>
        <w:tc>
          <w:tcPr>
            <w:tcW w:w="4020" w:type="dxa"/>
            <w:vAlign w:val="bottom"/>
          </w:tcPr>
          <w:p>
            <w:pPr>
              <w:spacing w:after="0" w:line="122" w:lineRule="exact"/>
              <w:rPr>
                <w:sz w:val="20"/>
                <w:szCs w:val="20"/>
                <w:color w:val="auto"/>
              </w:rPr>
            </w:pPr>
            <w:r>
              <w:rPr>
                <w:rFonts w:ascii="Arial" w:cs="Arial" w:eastAsia="Arial" w:hAnsi="Arial"/>
                <w:sz w:val="11"/>
                <w:szCs w:val="11"/>
                <w:color w:val="auto"/>
              </w:rPr>
              <w:t>Salaries and other employee expenses</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5.4</w:t>
            </w: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5.4</w:t>
            </w: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00" w:type="dxa"/>
            <w:vAlign w:val="bottom"/>
            <w:gridSpan w:val="2"/>
          </w:tcPr>
          <w:p>
            <w:pPr>
              <w:jc w:val="right"/>
              <w:ind w:right="340"/>
              <w:spacing w:after="0" w:line="122" w:lineRule="exact"/>
              <w:rPr>
                <w:sz w:val="20"/>
                <w:szCs w:val="20"/>
                <w:color w:val="auto"/>
              </w:rPr>
            </w:pPr>
            <w:r>
              <w:rPr>
                <w:rFonts w:ascii="Arial" w:cs="Arial" w:eastAsia="Arial" w:hAnsi="Arial"/>
                <w:sz w:val="11"/>
                <w:szCs w:val="11"/>
                <w:color w:val="auto"/>
              </w:rPr>
              <w:t>4.2</w:t>
            </w:r>
          </w:p>
        </w:tc>
        <w:tc>
          <w:tcPr>
            <w:tcW w:w="90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-2%</w:t>
            </w:r>
          </w:p>
        </w:tc>
        <w:tc>
          <w:tcPr>
            <w:tcW w:w="80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29%</w:t>
            </w:r>
          </w:p>
        </w:tc>
        <w:tc>
          <w:tcPr>
            <w:tcW w:w="100" w:type="dxa"/>
            <w:vAlign w:val="bottom"/>
          </w:tcPr>
          <w:p>
            <w:pPr>
              <w:spacing w:after="0"/>
              <w:rPr>
                <w:sz w:val="10"/>
                <w:szCs w:val="10"/>
                <w:color w:val="auto"/>
              </w:rPr>
            </w:pPr>
          </w:p>
        </w:tc>
        <w:tc>
          <w:tcPr>
            <w:tcW w:w="80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10.8</w:t>
            </w:r>
          </w:p>
        </w:tc>
        <w:tc>
          <w:tcPr>
            <w:tcW w:w="100" w:type="dxa"/>
            <w:vAlign w:val="bottom"/>
          </w:tcPr>
          <w:p>
            <w:pPr>
              <w:spacing w:after="0"/>
              <w:rPr>
                <w:sz w:val="10"/>
                <w:szCs w:val="10"/>
                <w:color w:val="auto"/>
              </w:rPr>
            </w:pPr>
          </w:p>
        </w:tc>
        <w:tc>
          <w:tcPr>
            <w:tcW w:w="900" w:type="dxa"/>
            <w:vAlign w:val="bottom"/>
            <w:gridSpan w:val="2"/>
          </w:tcPr>
          <w:p>
            <w:pPr>
              <w:jc w:val="right"/>
              <w:ind w:right="340"/>
              <w:spacing w:after="0" w:line="122" w:lineRule="exact"/>
              <w:rPr>
                <w:sz w:val="20"/>
                <w:szCs w:val="20"/>
                <w:color w:val="auto"/>
              </w:rPr>
            </w:pPr>
            <w:r>
              <w:rPr>
                <w:rFonts w:ascii="Arial" w:cs="Arial" w:eastAsia="Arial" w:hAnsi="Arial"/>
                <w:sz w:val="11"/>
                <w:szCs w:val="11"/>
                <w:color w:val="auto"/>
              </w:rPr>
              <w:t>11.2</w:t>
            </w:r>
          </w:p>
        </w:tc>
        <w:tc>
          <w:tcPr>
            <w:tcW w:w="7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w:t>
            </w:r>
          </w:p>
        </w:tc>
      </w:tr>
      <w:tr>
        <w:trPr>
          <w:trHeight w:val="122"/>
        </w:trPr>
        <w:tc>
          <w:tcPr>
            <w:tcW w:w="4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Depreciation of investment property, equipment and improvements</w:t>
            </w: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0" w:type="dxa"/>
            <w:vAlign w:val="bottom"/>
            <w:gridSpan w:val="2"/>
            <w:shd w:val="clear" w:color="auto" w:fill="CCEEFF"/>
          </w:tcPr>
          <w:p>
            <w:pPr>
              <w:jc w:val="right"/>
              <w:ind w:right="240"/>
              <w:spacing w:after="0" w:line="122" w:lineRule="exact"/>
              <w:rPr>
                <w:sz w:val="20"/>
                <w:szCs w:val="20"/>
                <w:color w:val="auto"/>
              </w:rPr>
            </w:pPr>
            <w:r>
              <w:rPr>
                <w:rFonts w:ascii="Arial" w:cs="Arial" w:eastAsia="Arial" w:hAnsi="Arial"/>
                <w:sz w:val="11"/>
                <w:szCs w:val="11"/>
                <w:color w:val="auto"/>
              </w:rPr>
              <w:t>0.7</w:t>
            </w: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0.8</w:t>
            </w: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340"/>
              <w:spacing w:after="0" w:line="122" w:lineRule="exact"/>
              <w:rPr>
                <w:sz w:val="20"/>
                <w:szCs w:val="20"/>
                <w:color w:val="auto"/>
              </w:rPr>
            </w:pPr>
            <w:r>
              <w:rPr>
                <w:rFonts w:ascii="Arial" w:cs="Arial" w:eastAsia="Arial" w:hAnsi="Arial"/>
                <w:sz w:val="11"/>
                <w:szCs w:val="11"/>
                <w:color w:val="auto"/>
              </w:rPr>
              <w:t>0.9</w:t>
            </w:r>
          </w:p>
        </w:tc>
        <w:tc>
          <w:tcPr>
            <w:tcW w:w="900" w:type="dxa"/>
            <w:vAlign w:val="bottom"/>
            <w:gridSpan w:val="2"/>
            <w:shd w:val="clear" w:color="auto" w:fill="CCEEFF"/>
          </w:tcPr>
          <w:p>
            <w:pPr>
              <w:jc w:val="right"/>
              <w:ind w:right="240"/>
              <w:spacing w:after="0" w:line="122" w:lineRule="exact"/>
              <w:rPr>
                <w:sz w:val="20"/>
                <w:szCs w:val="20"/>
                <w:color w:val="auto"/>
              </w:rPr>
            </w:pPr>
            <w:r>
              <w:rPr>
                <w:rFonts w:ascii="Arial" w:cs="Arial" w:eastAsia="Arial" w:hAnsi="Arial"/>
                <w:sz w:val="11"/>
                <w:szCs w:val="11"/>
                <w:color w:val="auto"/>
              </w:rPr>
              <w:t>-16%</w:t>
            </w:r>
          </w:p>
        </w:tc>
        <w:tc>
          <w:tcPr>
            <w:tcW w:w="80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w:t>
            </w: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w:t>
            </w:r>
          </w:p>
        </w:tc>
        <w:tc>
          <w:tcPr>
            <w:tcW w:w="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340"/>
              <w:spacing w:after="0" w:line="122" w:lineRule="exact"/>
              <w:rPr>
                <w:sz w:val="20"/>
                <w:szCs w:val="20"/>
                <w:color w:val="auto"/>
              </w:rPr>
            </w:pPr>
            <w:r>
              <w:rPr>
                <w:rFonts w:ascii="Arial" w:cs="Arial" w:eastAsia="Arial" w:hAnsi="Arial"/>
                <w:sz w:val="11"/>
                <w:szCs w:val="11"/>
                <w:color w:val="auto"/>
              </w:rPr>
              <w:t>1.6</w:t>
            </w:r>
          </w:p>
        </w:tc>
        <w:tc>
          <w:tcPr>
            <w:tcW w:w="7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w:t>
            </w:r>
          </w:p>
        </w:tc>
      </w:tr>
      <w:tr>
        <w:trPr>
          <w:trHeight w:val="122"/>
        </w:trPr>
        <w:tc>
          <w:tcPr>
            <w:tcW w:w="4020" w:type="dxa"/>
            <w:vAlign w:val="bottom"/>
          </w:tcPr>
          <w:p>
            <w:pPr>
              <w:spacing w:after="0" w:line="122" w:lineRule="exact"/>
              <w:rPr>
                <w:sz w:val="20"/>
                <w:szCs w:val="20"/>
                <w:color w:val="auto"/>
              </w:rPr>
            </w:pPr>
            <w:r>
              <w:rPr>
                <w:rFonts w:ascii="Arial" w:cs="Arial" w:eastAsia="Arial" w:hAnsi="Arial"/>
                <w:sz w:val="11"/>
                <w:szCs w:val="11"/>
                <w:color w:val="auto"/>
              </w:rPr>
              <w:t>Amortization of intangible assets</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0.3</w:t>
            </w: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0.3</w:t>
            </w: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00" w:type="dxa"/>
            <w:vAlign w:val="bottom"/>
            <w:gridSpan w:val="2"/>
          </w:tcPr>
          <w:p>
            <w:pPr>
              <w:jc w:val="right"/>
              <w:ind w:right="340"/>
              <w:spacing w:after="0" w:line="122" w:lineRule="exact"/>
              <w:rPr>
                <w:sz w:val="20"/>
                <w:szCs w:val="20"/>
                <w:color w:val="auto"/>
              </w:rPr>
            </w:pPr>
            <w:r>
              <w:rPr>
                <w:rFonts w:ascii="Arial" w:cs="Arial" w:eastAsia="Arial" w:hAnsi="Arial"/>
                <w:sz w:val="11"/>
                <w:szCs w:val="11"/>
                <w:color w:val="auto"/>
              </w:rPr>
              <w:t>0.2</w:t>
            </w:r>
          </w:p>
        </w:tc>
        <w:tc>
          <w:tcPr>
            <w:tcW w:w="90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-7%</w:t>
            </w:r>
          </w:p>
        </w:tc>
        <w:tc>
          <w:tcPr>
            <w:tcW w:w="80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36%</w:t>
            </w: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0.5</w:t>
            </w: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340"/>
              <w:spacing w:after="0" w:line="122" w:lineRule="exact"/>
              <w:rPr>
                <w:sz w:val="20"/>
                <w:szCs w:val="20"/>
                <w:color w:val="auto"/>
              </w:rPr>
            </w:pPr>
            <w:r>
              <w:rPr>
                <w:rFonts w:ascii="Arial" w:cs="Arial" w:eastAsia="Arial" w:hAnsi="Arial"/>
                <w:sz w:val="11"/>
                <w:szCs w:val="11"/>
                <w:color w:val="auto"/>
              </w:rPr>
              <w:t>0.4</w:t>
            </w:r>
          </w:p>
        </w:tc>
        <w:tc>
          <w:tcPr>
            <w:tcW w:w="7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39%</w:t>
            </w:r>
          </w:p>
        </w:tc>
      </w:tr>
      <w:tr>
        <w:trPr>
          <w:trHeight w:val="134"/>
        </w:trPr>
        <w:tc>
          <w:tcPr>
            <w:tcW w:w="4020" w:type="dxa"/>
            <w:vAlign w:val="bottom"/>
            <w:shd w:val="clear" w:color="auto" w:fill="CCEEFF"/>
          </w:tcPr>
          <w:p>
            <w:pPr>
              <w:spacing w:after="0"/>
              <w:rPr>
                <w:sz w:val="20"/>
                <w:szCs w:val="20"/>
                <w:color w:val="auto"/>
              </w:rPr>
            </w:pPr>
            <w:r>
              <w:rPr>
                <w:rFonts w:ascii="Arial" w:cs="Arial" w:eastAsia="Arial" w:hAnsi="Arial"/>
                <w:sz w:val="11"/>
                <w:szCs w:val="11"/>
                <w:color w:val="auto"/>
              </w:rPr>
              <w:t>Other expenses</w:t>
            </w: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3.8</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w:t>
            </w: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340"/>
              <w:spacing w:after="0"/>
              <w:rPr>
                <w:sz w:val="20"/>
                <w:szCs w:val="20"/>
                <w:color w:val="auto"/>
              </w:rPr>
            </w:pPr>
            <w:r>
              <w:rPr>
                <w:rFonts w:ascii="Arial" w:cs="Arial" w:eastAsia="Arial" w:hAnsi="Arial"/>
                <w:sz w:val="11"/>
                <w:szCs w:val="11"/>
                <w:color w:val="auto"/>
              </w:rPr>
              <w:t>3.1</w:t>
            </w: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46%</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25%</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w:t>
            </w: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340"/>
              <w:spacing w:after="0"/>
              <w:rPr>
                <w:sz w:val="20"/>
                <w:szCs w:val="20"/>
                <w:color w:val="auto"/>
              </w:rPr>
            </w:pPr>
            <w:r>
              <w:rPr>
                <w:rFonts w:ascii="Arial" w:cs="Arial" w:eastAsia="Arial" w:hAnsi="Arial"/>
                <w:sz w:val="11"/>
                <w:szCs w:val="11"/>
                <w:color w:val="auto"/>
              </w:rPr>
              <w:t>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w:t>
            </w:r>
          </w:p>
        </w:tc>
      </w:tr>
      <w:tr>
        <w:trPr>
          <w:trHeight w:val="166"/>
        </w:trPr>
        <w:tc>
          <w:tcPr>
            <w:tcW w:w="4020" w:type="dxa"/>
            <w:vAlign w:val="bottom"/>
            <w:tcBorders>
              <w:bottom w:val="single" w:sz="8" w:color="CCEEFF"/>
            </w:tcBorders>
          </w:tcPr>
          <w:p>
            <w:pPr>
              <w:spacing w:after="0"/>
              <w:rPr>
                <w:sz w:val="20"/>
                <w:szCs w:val="20"/>
                <w:color w:val="auto"/>
              </w:rPr>
            </w:pPr>
            <w:r>
              <w:rPr>
                <w:rFonts w:ascii="Arial" w:cs="Arial" w:eastAsia="Arial" w:hAnsi="Arial"/>
                <w:sz w:val="11"/>
                <w:szCs w:val="11"/>
                <w:b w:val="1"/>
                <w:bCs w:val="1"/>
                <w:color w:val="auto"/>
              </w:rPr>
              <w:t>Total Operating Expenses</w:t>
            </w:r>
          </w:p>
        </w:tc>
        <w:tc>
          <w:tcPr>
            <w:tcW w:w="12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1"/>
                <w:szCs w:val="11"/>
                <w:b w:val="1"/>
                <w:bCs w:val="1"/>
                <w:color w:val="auto"/>
              </w:rPr>
              <w:t>10.1</w:t>
            </w:r>
          </w:p>
        </w:tc>
        <w:tc>
          <w:tcPr>
            <w:tcW w:w="24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1"/>
                <w:szCs w:val="11"/>
                <w:b w:val="1"/>
                <w:bCs w:val="1"/>
                <w:color w:val="auto"/>
              </w:rPr>
              <w:t>9.1</w:t>
            </w:r>
          </w:p>
        </w:tc>
        <w:tc>
          <w:tcPr>
            <w:tcW w:w="24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1"/>
                <w:szCs w:val="11"/>
                <w:b w:val="1"/>
                <w:bCs w:val="1"/>
                <w:color w:val="auto"/>
              </w:rPr>
              <w:t>8.3</w:t>
            </w:r>
          </w:p>
        </w:tc>
        <w:tc>
          <w:tcPr>
            <w:tcW w:w="340" w:type="dxa"/>
            <w:vAlign w:val="bottom"/>
            <w:tcBorders>
              <w:bottom w:val="single" w:sz="8" w:color="CCEEFF"/>
            </w:tcBorders>
          </w:tcPr>
          <w:p>
            <w:pPr>
              <w:spacing w:after="0"/>
              <w:rPr>
                <w:sz w:val="14"/>
                <w:szCs w:val="14"/>
                <w:color w:val="auto"/>
              </w:rPr>
            </w:pPr>
          </w:p>
        </w:tc>
        <w:tc>
          <w:tcPr>
            <w:tcW w:w="900" w:type="dxa"/>
            <w:vAlign w:val="bottom"/>
            <w:tcBorders>
              <w:bottom w:val="single" w:sz="8" w:color="CCEEFF"/>
            </w:tcBorders>
            <w:gridSpan w:val="2"/>
          </w:tcPr>
          <w:p>
            <w:pPr>
              <w:jc w:val="right"/>
              <w:ind w:right="240"/>
              <w:spacing w:after="0" w:line="127" w:lineRule="exact"/>
              <w:rPr>
                <w:sz w:val="20"/>
                <w:szCs w:val="20"/>
                <w:color w:val="auto"/>
              </w:rPr>
            </w:pPr>
            <w:r>
              <w:rPr>
                <w:rFonts w:ascii="Arial" w:cs="Arial" w:eastAsia="Arial" w:hAnsi="Arial"/>
                <w:sz w:val="8"/>
                <w:szCs w:val="8"/>
                <w:b w:val="1"/>
                <w:bCs w:val="1"/>
                <w:color w:val="auto"/>
              </w:rPr>
              <w:t>11</w:t>
            </w:r>
            <w:r>
              <w:rPr>
                <w:rFonts w:ascii="Arial" w:cs="Arial" w:eastAsia="Arial" w:hAnsi="Arial"/>
                <w:sz w:val="14"/>
                <w:szCs w:val="14"/>
                <w:b w:val="1"/>
                <w:bCs w:val="1"/>
                <w:color w:val="auto"/>
                <w:vertAlign w:val="superscript"/>
              </w:rPr>
              <w:t>%</w:t>
            </w:r>
          </w:p>
        </w:tc>
        <w:tc>
          <w:tcPr>
            <w:tcW w:w="800" w:type="dxa"/>
            <w:vAlign w:val="bottom"/>
            <w:tcBorders>
              <w:bottom w:val="single" w:sz="8" w:color="CCEEFF"/>
            </w:tcBorders>
            <w:gridSpan w:val="2"/>
          </w:tcPr>
          <w:p>
            <w:pPr>
              <w:jc w:val="right"/>
              <w:ind w:right="120"/>
              <w:spacing w:after="0" w:line="127" w:lineRule="exact"/>
              <w:rPr>
                <w:sz w:val="20"/>
                <w:szCs w:val="20"/>
                <w:color w:val="auto"/>
              </w:rPr>
            </w:pPr>
            <w:r>
              <w:rPr>
                <w:rFonts w:ascii="Arial" w:cs="Arial" w:eastAsia="Arial" w:hAnsi="Arial"/>
                <w:sz w:val="8"/>
                <w:szCs w:val="8"/>
                <w:b w:val="1"/>
                <w:bCs w:val="1"/>
                <w:color w:val="auto"/>
              </w:rPr>
              <w:t>22</w:t>
            </w:r>
            <w:r>
              <w:rPr>
                <w:rFonts w:ascii="Arial" w:cs="Arial" w:eastAsia="Arial" w:hAnsi="Arial"/>
                <w:sz w:val="14"/>
                <w:szCs w:val="14"/>
                <w:b w:val="1"/>
                <w:bCs w:val="1"/>
                <w:color w:val="auto"/>
                <w:vertAlign w:val="superscript"/>
              </w:rPr>
              <w:t>%</w:t>
            </w:r>
          </w:p>
        </w:tc>
        <w:tc>
          <w:tcPr>
            <w:tcW w:w="100" w:type="dxa"/>
            <w:vAlign w:val="bottom"/>
            <w:tcBorders>
              <w:top w:val="single" w:sz="8" w:color="auto"/>
              <w:bottom w:val="single" w:sz="8" w:color="auto"/>
            </w:tcBorders>
          </w:tcPr>
          <w:p>
            <w:pPr>
              <w:jc w:val="right"/>
              <w:ind w:right="37"/>
              <w:spacing w:after="0"/>
              <w:rPr>
                <w:sz w:val="20"/>
                <w:szCs w:val="20"/>
                <w:color w:val="auto"/>
              </w:rPr>
            </w:pPr>
            <w:r>
              <w:rPr>
                <w:rFonts w:ascii="Arial" w:cs="Arial" w:eastAsia="Arial" w:hAnsi="Arial"/>
                <w:sz w:val="5"/>
                <w:szCs w:val="5"/>
                <w:b w:val="1"/>
                <w:bCs w:val="1"/>
                <w:color w:val="auto"/>
                <w:w w:val="70"/>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1"/>
                <w:szCs w:val="11"/>
                <w:b w:val="1"/>
                <w:bCs w:val="1"/>
                <w:color w:val="auto"/>
              </w:rPr>
              <w:t>19.3</w:t>
            </w:r>
          </w:p>
        </w:tc>
        <w:tc>
          <w:tcPr>
            <w:tcW w:w="24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1"/>
                <w:szCs w:val="11"/>
                <w:b w:val="1"/>
                <w:bCs w:val="1"/>
                <w:color w:val="auto"/>
              </w:rPr>
              <w:t>18.8</w:t>
            </w:r>
          </w:p>
        </w:tc>
        <w:tc>
          <w:tcPr>
            <w:tcW w:w="340" w:type="dxa"/>
            <w:vAlign w:val="bottom"/>
            <w:tcBorders>
              <w:bottom w:val="single" w:sz="8" w:color="CCEEFF"/>
            </w:tcBorders>
          </w:tcPr>
          <w:p>
            <w:pPr>
              <w:spacing w:after="0"/>
              <w:rPr>
                <w:sz w:val="14"/>
                <w:szCs w:val="14"/>
                <w:color w:val="auto"/>
              </w:rPr>
            </w:pPr>
          </w:p>
        </w:tc>
        <w:tc>
          <w:tcPr>
            <w:tcW w:w="700" w:type="dxa"/>
            <w:vAlign w:val="bottom"/>
            <w:tcBorders>
              <w:bottom w:val="single" w:sz="8" w:color="CCEEFF"/>
            </w:tcBorders>
            <w:gridSpan w:val="2"/>
          </w:tcPr>
          <w:p>
            <w:pPr>
              <w:jc w:val="right"/>
              <w:ind w:right="20"/>
              <w:spacing w:after="0" w:line="127" w:lineRule="exact"/>
              <w:rPr>
                <w:sz w:val="20"/>
                <w:szCs w:val="20"/>
                <w:color w:val="auto"/>
              </w:rPr>
            </w:pPr>
            <w:r>
              <w:rPr>
                <w:rFonts w:ascii="Arial" w:cs="Arial" w:eastAsia="Arial" w:hAnsi="Arial"/>
                <w:sz w:val="8"/>
                <w:szCs w:val="8"/>
                <w:b w:val="1"/>
                <w:bCs w:val="1"/>
                <w:color w:val="auto"/>
              </w:rPr>
              <w:t>2</w:t>
            </w:r>
            <w:r>
              <w:rPr>
                <w:rFonts w:ascii="Arial" w:cs="Arial" w:eastAsia="Arial" w:hAnsi="Arial"/>
                <w:sz w:val="14"/>
                <w:szCs w:val="14"/>
                <w:b w:val="1"/>
                <w:bCs w:val="1"/>
                <w:color w:val="auto"/>
                <w:vertAlign w:val="superscript"/>
              </w:rPr>
              <w:t>%</w:t>
            </w:r>
          </w:p>
        </w:tc>
      </w:tr>
      <w:tr>
        <w:trPr>
          <w:trHeight w:val="99"/>
        </w:trPr>
        <w:tc>
          <w:tcPr>
            <w:tcW w:w="4020" w:type="dxa"/>
            <w:vAlign w:val="bottom"/>
            <w:shd w:val="clear" w:color="auto" w:fill="CCEEFF"/>
          </w:tcPr>
          <w:p>
            <w:pPr>
              <w:spacing w:after="0" w:line="99" w:lineRule="exact"/>
              <w:rPr>
                <w:sz w:val="20"/>
                <w:szCs w:val="20"/>
                <w:color w:val="auto"/>
              </w:rPr>
            </w:pPr>
            <w:r>
              <w:rPr>
                <w:rFonts w:ascii="Arial" w:cs="Arial" w:eastAsia="Arial" w:hAnsi="Arial"/>
                <w:sz w:val="11"/>
                <w:szCs w:val="11"/>
                <w:b w:val="1"/>
                <w:bCs w:val="1"/>
                <w:color w:val="auto"/>
              </w:rPr>
              <w:t>Efficiency Ratio</w:t>
            </w:r>
          </w:p>
        </w:tc>
        <w:tc>
          <w:tcPr>
            <w:tcW w:w="1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120"/>
              <w:spacing w:after="0" w:line="99" w:lineRule="exact"/>
              <w:rPr>
                <w:sz w:val="20"/>
                <w:szCs w:val="20"/>
                <w:color w:val="auto"/>
              </w:rPr>
            </w:pPr>
            <w:r>
              <w:rPr>
                <w:rFonts w:ascii="Arial" w:cs="Arial" w:eastAsia="Arial" w:hAnsi="Arial"/>
                <w:sz w:val="11"/>
                <w:szCs w:val="11"/>
                <w:b w:val="1"/>
                <w:bCs w:val="1"/>
                <w:color w:val="auto"/>
              </w:rPr>
              <w:t>39.6%</w:t>
            </w:r>
          </w:p>
        </w:tc>
        <w:tc>
          <w:tcPr>
            <w:tcW w:w="10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120"/>
              <w:spacing w:after="0" w:line="99" w:lineRule="exact"/>
              <w:rPr>
                <w:sz w:val="20"/>
                <w:szCs w:val="20"/>
                <w:color w:val="auto"/>
              </w:rPr>
            </w:pPr>
            <w:r>
              <w:rPr>
                <w:rFonts w:ascii="Arial" w:cs="Arial" w:eastAsia="Arial" w:hAnsi="Arial"/>
                <w:sz w:val="11"/>
                <w:szCs w:val="11"/>
                <w:b w:val="1"/>
                <w:bCs w:val="1"/>
                <w:color w:val="auto"/>
              </w:rPr>
              <w:t>41.6%</w:t>
            </w:r>
          </w:p>
        </w:tc>
        <w:tc>
          <w:tcPr>
            <w:tcW w:w="120" w:type="dxa"/>
            <w:vAlign w:val="bottom"/>
            <w:shd w:val="clear" w:color="auto" w:fill="CCEEFF"/>
          </w:tcPr>
          <w:p>
            <w:pPr>
              <w:spacing w:after="0"/>
              <w:rPr>
                <w:sz w:val="8"/>
                <w:szCs w:val="8"/>
                <w:color w:val="auto"/>
              </w:rPr>
            </w:pPr>
          </w:p>
        </w:tc>
        <w:tc>
          <w:tcPr>
            <w:tcW w:w="900" w:type="dxa"/>
            <w:vAlign w:val="bottom"/>
            <w:gridSpan w:val="2"/>
            <w:shd w:val="clear" w:color="auto" w:fill="CCEEFF"/>
          </w:tcPr>
          <w:p>
            <w:pPr>
              <w:jc w:val="right"/>
              <w:ind w:right="240"/>
              <w:spacing w:after="0" w:line="99" w:lineRule="exact"/>
              <w:rPr>
                <w:sz w:val="20"/>
                <w:szCs w:val="20"/>
                <w:color w:val="auto"/>
              </w:rPr>
            </w:pPr>
            <w:r>
              <w:rPr>
                <w:rFonts w:ascii="Arial" w:cs="Arial" w:eastAsia="Arial" w:hAnsi="Arial"/>
                <w:sz w:val="11"/>
                <w:szCs w:val="11"/>
                <w:b w:val="1"/>
                <w:bCs w:val="1"/>
                <w:color w:val="auto"/>
              </w:rPr>
              <w:t>41.5%</w:t>
            </w:r>
          </w:p>
        </w:tc>
        <w:tc>
          <w:tcPr>
            <w:tcW w:w="560" w:type="dxa"/>
            <w:vAlign w:val="bottom"/>
            <w:shd w:val="clear" w:color="auto" w:fill="CCEEFF"/>
          </w:tcPr>
          <w:p>
            <w:pPr>
              <w:spacing w:after="0"/>
              <w:rPr>
                <w:sz w:val="8"/>
                <w:szCs w:val="8"/>
                <w:color w:val="auto"/>
              </w:rPr>
            </w:pPr>
          </w:p>
        </w:tc>
        <w:tc>
          <w:tcPr>
            <w:tcW w:w="3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120"/>
              <w:spacing w:after="0" w:line="99" w:lineRule="exact"/>
              <w:rPr>
                <w:sz w:val="20"/>
                <w:szCs w:val="20"/>
                <w:color w:val="auto"/>
              </w:rPr>
            </w:pPr>
            <w:r>
              <w:rPr>
                <w:rFonts w:ascii="Arial" w:cs="Arial" w:eastAsia="Arial" w:hAnsi="Arial"/>
                <w:sz w:val="11"/>
                <w:szCs w:val="11"/>
                <w:b w:val="1"/>
                <w:bCs w:val="1"/>
                <w:color w:val="auto"/>
              </w:rPr>
              <w:t>40.5%</w:t>
            </w:r>
          </w:p>
        </w:tc>
        <w:tc>
          <w:tcPr>
            <w:tcW w:w="100" w:type="dxa"/>
            <w:vAlign w:val="bottom"/>
            <w:shd w:val="clear" w:color="auto" w:fill="CCEEFF"/>
          </w:tcPr>
          <w:p>
            <w:pPr>
              <w:spacing w:after="0"/>
              <w:rPr>
                <w:sz w:val="8"/>
                <w:szCs w:val="8"/>
                <w:color w:val="auto"/>
              </w:rPr>
            </w:pPr>
          </w:p>
        </w:tc>
        <w:tc>
          <w:tcPr>
            <w:tcW w:w="900" w:type="dxa"/>
            <w:vAlign w:val="bottom"/>
            <w:gridSpan w:val="2"/>
            <w:shd w:val="clear" w:color="auto" w:fill="CCEEFF"/>
          </w:tcPr>
          <w:p>
            <w:pPr>
              <w:jc w:val="right"/>
              <w:ind w:right="220"/>
              <w:spacing w:after="0" w:line="99" w:lineRule="exact"/>
              <w:rPr>
                <w:sz w:val="20"/>
                <w:szCs w:val="20"/>
                <w:color w:val="auto"/>
              </w:rPr>
            </w:pPr>
            <w:r>
              <w:rPr>
                <w:rFonts w:ascii="Arial" w:cs="Arial" w:eastAsia="Arial" w:hAnsi="Arial"/>
                <w:sz w:val="11"/>
                <w:szCs w:val="11"/>
                <w:b w:val="1"/>
                <w:bCs w:val="1"/>
                <w:color w:val="auto"/>
              </w:rPr>
              <w:t>38.7%</w:t>
            </w: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r>
    </w:tbl>
    <w:p>
      <w:pPr>
        <w:spacing w:after="0" w:line="183" w:lineRule="exact"/>
        <w:rPr>
          <w:sz w:val="20"/>
          <w:szCs w:val="20"/>
          <w:color w:val="auto"/>
        </w:rPr>
      </w:pPr>
    </w:p>
    <w:p>
      <w:pPr>
        <w:jc w:val="both"/>
        <w:ind w:right="80"/>
        <w:spacing w:after="0" w:line="269" w:lineRule="auto"/>
        <w:rPr>
          <w:sz w:val="20"/>
          <w:szCs w:val="20"/>
          <w:color w:val="auto"/>
        </w:rPr>
      </w:pPr>
      <w:r>
        <w:rPr>
          <w:rFonts w:ascii="Arial" w:cs="Arial" w:eastAsia="Arial" w:hAnsi="Arial"/>
          <w:sz w:val="16"/>
          <w:szCs w:val="16"/>
          <w:color w:val="auto"/>
        </w:rPr>
        <w:t>The Bank’s 2Q21 and 6M21 operating expenses totaled $10.1 million (+11% QoQ; +22% YoY) and $19.3 million (+2%), respectively. The QoQ increase for 2Q21 was primarily associated to lower seasonal expense levels typical of the first quarter of the year. The YoY quarterly and year-to-date increases mostly relate to reduced expenses in the comparable periods of 2020, as cost saving measures were implemented at the onset of Covid-19.</w:t>
      </w:r>
    </w:p>
    <w:p>
      <w:pPr>
        <w:spacing w:after="0" w:line="162" w:lineRule="exact"/>
        <w:rPr>
          <w:sz w:val="20"/>
          <w:szCs w:val="20"/>
          <w:color w:val="auto"/>
        </w:rPr>
      </w:pPr>
    </w:p>
    <w:p>
      <w:pPr>
        <w:jc w:val="both"/>
        <w:ind w:right="80"/>
        <w:spacing w:after="0" w:line="284" w:lineRule="auto"/>
        <w:rPr>
          <w:sz w:val="20"/>
          <w:szCs w:val="20"/>
          <w:color w:val="auto"/>
        </w:rPr>
      </w:pPr>
      <w:r>
        <w:rPr>
          <w:rFonts w:ascii="Arial" w:cs="Arial" w:eastAsia="Arial" w:hAnsi="Arial"/>
          <w:sz w:val="16"/>
          <w:szCs w:val="16"/>
          <w:color w:val="auto"/>
        </w:rPr>
        <w:t>The Bank’s Efficiency Ratio improved to 40% in 2Q21, as higher total revenues more than compensated the increase in operating expenses. YTD Efficiency Ratio stood at 41%, up from 39% a year ago, mainly on lagging income generation.</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CAPITAL RATIOS AND CAPITAL MANAGEMENT</w:t>
      </w:r>
    </w:p>
    <w:p>
      <w:pPr>
        <w:spacing w:after="0" w:line="211"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shows capital amounts and ratios as of the dates indicated:</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150"/>
        </w:trPr>
        <w:tc>
          <w:tcPr>
            <w:tcW w:w="5640" w:type="dxa"/>
            <w:vAlign w:val="bottom"/>
            <w:tcBorders>
              <w:bottom w:val="single" w:sz="8" w:color="auto"/>
            </w:tcBorders>
          </w:tcPr>
          <w:p>
            <w:pPr>
              <w:spacing w:after="0"/>
              <w:rPr>
                <w:sz w:val="20"/>
                <w:szCs w:val="20"/>
                <w:color w:val="auto"/>
              </w:rPr>
            </w:pPr>
            <w:r>
              <w:rPr>
                <w:rFonts w:ascii="Arial" w:cs="Arial" w:eastAsia="Arial" w:hAnsi="Arial"/>
                <w:sz w:val="11"/>
                <w:szCs w:val="11"/>
                <w:color w:val="auto"/>
              </w:rPr>
              <w:t>(US$ million, except percentages and shares outstanding)</w:t>
            </w:r>
          </w:p>
        </w:tc>
        <w:tc>
          <w:tcPr>
            <w:tcW w:w="120" w:type="dxa"/>
            <w:vAlign w:val="bottom"/>
            <w:tcBorders>
              <w:bottom w:val="single" w:sz="8" w:color="CCEEFF"/>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163"/>
              <w:spacing w:after="0"/>
              <w:rPr>
                <w:sz w:val="20"/>
                <w:szCs w:val="20"/>
                <w:color w:val="auto"/>
              </w:rPr>
            </w:pPr>
            <w:r>
              <w:rPr>
                <w:rFonts w:ascii="Arial" w:cs="Arial" w:eastAsia="Arial" w:hAnsi="Arial"/>
                <w:sz w:val="11"/>
                <w:szCs w:val="11"/>
                <w:b w:val="1"/>
                <w:bCs w:val="1"/>
                <w:color w:val="auto"/>
              </w:rPr>
              <w:t>30-Jun-21</w:t>
            </w:r>
          </w:p>
        </w:tc>
        <w:tc>
          <w:tcPr>
            <w:tcW w:w="160" w:type="dxa"/>
            <w:vAlign w:val="bottom"/>
            <w:tcBorders>
              <w:bottom w:val="single" w:sz="8" w:color="CCEEFF"/>
            </w:tcBorders>
          </w:tcPr>
          <w:p>
            <w:pPr>
              <w:spacing w:after="0"/>
              <w:rPr>
                <w:sz w:val="13"/>
                <w:szCs w:val="13"/>
                <w:color w:val="auto"/>
              </w:rPr>
            </w:pPr>
          </w:p>
        </w:tc>
        <w:tc>
          <w:tcPr>
            <w:tcW w:w="80" w:type="dxa"/>
            <w:vAlign w:val="bottom"/>
            <w:tcBorders>
              <w:bottom w:val="single" w:sz="8" w:color="CCEEFF"/>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123"/>
              <w:spacing w:after="0"/>
              <w:rPr>
                <w:sz w:val="20"/>
                <w:szCs w:val="20"/>
                <w:color w:val="auto"/>
              </w:rPr>
            </w:pPr>
            <w:r>
              <w:rPr>
                <w:rFonts w:ascii="Arial" w:cs="Arial" w:eastAsia="Arial" w:hAnsi="Arial"/>
                <w:sz w:val="11"/>
                <w:szCs w:val="11"/>
                <w:b w:val="1"/>
                <w:bCs w:val="1"/>
                <w:color w:val="auto"/>
              </w:rPr>
              <w:t>31-Mar-21</w:t>
            </w:r>
          </w:p>
        </w:tc>
        <w:tc>
          <w:tcPr>
            <w:tcW w:w="220" w:type="dxa"/>
            <w:vAlign w:val="bottom"/>
            <w:tcBorders>
              <w:bottom w:val="single" w:sz="8" w:color="CCEEFF"/>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143"/>
              <w:spacing w:after="0"/>
              <w:rPr>
                <w:sz w:val="20"/>
                <w:szCs w:val="20"/>
                <w:color w:val="auto"/>
              </w:rPr>
            </w:pPr>
            <w:r>
              <w:rPr>
                <w:rFonts w:ascii="Arial" w:cs="Arial" w:eastAsia="Arial" w:hAnsi="Arial"/>
                <w:sz w:val="11"/>
                <w:szCs w:val="11"/>
                <w:b w:val="1"/>
                <w:bCs w:val="1"/>
                <w:color w:val="auto"/>
              </w:rPr>
              <w:t>30-Jun-20</w:t>
            </w:r>
          </w:p>
        </w:tc>
        <w:tc>
          <w:tcPr>
            <w:tcW w:w="220" w:type="dxa"/>
            <w:vAlign w:val="bottom"/>
            <w:tcBorders>
              <w:bottom w:val="single" w:sz="8" w:color="CCEEFF"/>
            </w:tcBorders>
          </w:tcPr>
          <w:p>
            <w:pPr>
              <w:spacing w:after="0"/>
              <w:rPr>
                <w:sz w:val="13"/>
                <w:szCs w:val="13"/>
                <w:color w:val="auto"/>
              </w:rPr>
            </w:pPr>
          </w:p>
        </w:tc>
        <w:tc>
          <w:tcPr>
            <w:tcW w:w="700" w:type="dxa"/>
            <w:vAlign w:val="bottom"/>
            <w:tcBorders>
              <w:bottom w:val="single" w:sz="8" w:color="auto"/>
            </w:tcBorders>
          </w:tcPr>
          <w:p>
            <w:pPr>
              <w:ind w:left="220"/>
              <w:spacing w:after="0"/>
              <w:rPr>
                <w:sz w:val="20"/>
                <w:szCs w:val="20"/>
                <w:color w:val="auto"/>
              </w:rPr>
            </w:pPr>
            <w:r>
              <w:rPr>
                <w:rFonts w:ascii="Arial" w:cs="Arial" w:eastAsia="Arial" w:hAnsi="Arial"/>
                <w:sz w:val="11"/>
                <w:szCs w:val="11"/>
                <w:b w:val="1"/>
                <w:bCs w:val="1"/>
                <w:color w:val="auto"/>
              </w:rPr>
              <w:t>QoQ (%)</w:t>
            </w:r>
          </w:p>
        </w:tc>
        <w:tc>
          <w:tcPr>
            <w:tcW w:w="18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ind w:left="240"/>
              <w:spacing w:after="0"/>
              <w:rPr>
                <w:sz w:val="20"/>
                <w:szCs w:val="20"/>
                <w:color w:val="auto"/>
              </w:rPr>
            </w:pPr>
            <w:r>
              <w:rPr>
                <w:rFonts w:ascii="Arial" w:cs="Arial" w:eastAsia="Arial" w:hAnsi="Arial"/>
                <w:sz w:val="11"/>
                <w:szCs w:val="11"/>
                <w:b w:val="1"/>
                <w:bCs w:val="1"/>
                <w:color w:val="auto"/>
              </w:rPr>
              <w:t>YoY (%)</w:t>
            </w:r>
          </w:p>
        </w:tc>
        <w:tc>
          <w:tcPr>
            <w:tcW w:w="120" w:type="dxa"/>
            <w:vAlign w:val="bottom"/>
            <w:tcBorders>
              <w:bottom w:val="single" w:sz="8" w:color="CCEEFF"/>
            </w:tcBorders>
          </w:tcPr>
          <w:p>
            <w:pPr>
              <w:spacing w:after="0"/>
              <w:rPr>
                <w:sz w:val="13"/>
                <w:szCs w:val="13"/>
                <w:color w:val="auto"/>
              </w:rPr>
            </w:pPr>
          </w:p>
        </w:tc>
      </w:tr>
      <w:tr>
        <w:trPr>
          <w:trHeight w:val="114"/>
        </w:trPr>
        <w:tc>
          <w:tcPr>
            <w:tcW w:w="5640" w:type="dxa"/>
            <w:vAlign w:val="bottom"/>
            <w:shd w:val="clear" w:color="auto" w:fill="CCEEFF"/>
          </w:tcPr>
          <w:p>
            <w:pPr>
              <w:spacing w:after="0" w:line="114" w:lineRule="exact"/>
              <w:rPr>
                <w:sz w:val="20"/>
                <w:szCs w:val="20"/>
                <w:color w:val="auto"/>
              </w:rPr>
            </w:pPr>
            <w:r>
              <w:rPr>
                <w:rFonts w:ascii="Arial" w:cs="Arial" w:eastAsia="Arial" w:hAnsi="Arial"/>
                <w:sz w:val="11"/>
                <w:szCs w:val="11"/>
                <w:color w:val="auto"/>
              </w:rPr>
              <w:t>Total equity</w:t>
            </w:r>
          </w:p>
        </w:tc>
        <w:tc>
          <w:tcPr>
            <w:tcW w:w="120" w:type="dxa"/>
            <w:vAlign w:val="bottom"/>
            <w:shd w:val="clear" w:color="auto" w:fill="CCEEFF"/>
          </w:tcPr>
          <w:p>
            <w:pPr>
              <w:spacing w:after="0"/>
              <w:rPr>
                <w:sz w:val="9"/>
                <w:szCs w:val="9"/>
                <w:color w:val="auto"/>
              </w:rPr>
            </w:pP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78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1,031</w:t>
            </w: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6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1,037</w:t>
            </w:r>
          </w:p>
        </w:tc>
        <w:tc>
          <w:tcPr>
            <w:tcW w:w="220" w:type="dxa"/>
            <w:vAlign w:val="bottom"/>
            <w:shd w:val="clear" w:color="auto" w:fill="CCEEFF"/>
          </w:tcPr>
          <w:p>
            <w:pPr>
              <w:spacing w:after="0"/>
              <w:rPr>
                <w:sz w:val="9"/>
                <w:szCs w:val="9"/>
                <w:color w:val="auto"/>
              </w:rPr>
            </w:pP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76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1,022</w:t>
            </w: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400" w:type="dxa"/>
            <w:vAlign w:val="bottom"/>
            <w:gridSpan w:val="2"/>
            <w:shd w:val="clear" w:color="auto" w:fill="CCEEFF"/>
          </w:tcPr>
          <w:p>
            <w:pPr>
              <w:jc w:val="right"/>
              <w:ind w:right="120"/>
              <w:spacing w:after="0" w:line="114" w:lineRule="exact"/>
              <w:rPr>
                <w:sz w:val="20"/>
                <w:szCs w:val="20"/>
                <w:color w:val="auto"/>
              </w:rPr>
            </w:pPr>
            <w:r>
              <w:rPr>
                <w:rFonts w:ascii="Arial" w:cs="Arial" w:eastAsia="Arial" w:hAnsi="Arial"/>
                <w:sz w:val="11"/>
                <w:szCs w:val="11"/>
                <w:color w:val="auto"/>
              </w:rPr>
              <w:t>-1%</w:t>
            </w:r>
          </w:p>
        </w:tc>
        <w:tc>
          <w:tcPr>
            <w:tcW w:w="1020" w:type="dxa"/>
            <w:vAlign w:val="bottom"/>
            <w:gridSpan w:val="2"/>
            <w:shd w:val="clear" w:color="auto" w:fill="CCEEFF"/>
          </w:tcPr>
          <w:p>
            <w:pPr>
              <w:jc w:val="right"/>
              <w:ind w:right="20"/>
              <w:spacing w:after="0" w:line="114" w:lineRule="exact"/>
              <w:rPr>
                <w:sz w:val="20"/>
                <w:szCs w:val="20"/>
                <w:color w:val="auto"/>
              </w:rPr>
            </w:pPr>
            <w:r>
              <w:rPr>
                <w:rFonts w:ascii="Arial" w:cs="Arial" w:eastAsia="Arial" w:hAnsi="Arial"/>
                <w:sz w:val="11"/>
                <w:szCs w:val="11"/>
                <w:color w:val="auto"/>
              </w:rPr>
              <w:t>1%</w:t>
            </w:r>
          </w:p>
        </w:tc>
      </w:tr>
      <w:tr>
        <w:trPr>
          <w:trHeight w:val="159"/>
        </w:trPr>
        <w:tc>
          <w:tcPr>
            <w:tcW w:w="5640" w:type="dxa"/>
            <w:vAlign w:val="bottom"/>
          </w:tcPr>
          <w:p>
            <w:pPr>
              <w:spacing w:after="0" w:line="158" w:lineRule="exact"/>
              <w:rPr>
                <w:sz w:val="20"/>
                <w:szCs w:val="20"/>
                <w:color w:val="auto"/>
              </w:rPr>
            </w:pPr>
            <w:r>
              <w:rPr>
                <w:rFonts w:ascii="Arial" w:cs="Arial" w:eastAsia="Arial" w:hAnsi="Arial"/>
                <w:sz w:val="11"/>
                <w:szCs w:val="11"/>
                <w:color w:val="auto"/>
              </w:rPr>
              <w:t xml:space="preserve">Tier 1 capital to risk weighted assets (Basel III – IRB) </w:t>
            </w:r>
            <w:r>
              <w:rPr>
                <w:rFonts w:ascii="Arial" w:cs="Arial" w:eastAsia="Arial" w:hAnsi="Arial"/>
                <w:sz w:val="18"/>
                <w:szCs w:val="18"/>
                <w:color w:val="auto"/>
                <w:vertAlign w:val="superscript"/>
              </w:rPr>
              <w:t>(9)</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1"/>
                <w:szCs w:val="11"/>
                <w:color w:val="auto"/>
              </w:rPr>
              <w:t>23.6%</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1"/>
                <w:szCs w:val="11"/>
                <w:color w:val="auto"/>
              </w:rPr>
              <w:t>26.3%</w:t>
            </w:r>
          </w:p>
        </w:tc>
        <w:tc>
          <w:tcPr>
            <w:tcW w:w="14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1"/>
                <w:szCs w:val="11"/>
                <w:color w:val="auto"/>
              </w:rPr>
              <w:t>24.8%</w:t>
            </w:r>
          </w:p>
        </w:tc>
        <w:tc>
          <w:tcPr>
            <w:tcW w:w="700" w:type="dxa"/>
            <w:vAlign w:val="bottom"/>
          </w:tcPr>
          <w:p>
            <w:pPr>
              <w:spacing w:after="0"/>
              <w:rPr>
                <w:sz w:val="13"/>
                <w:szCs w:val="13"/>
                <w:color w:val="auto"/>
              </w:rPr>
            </w:pPr>
          </w:p>
        </w:tc>
        <w:tc>
          <w:tcPr>
            <w:tcW w:w="400" w:type="dxa"/>
            <w:vAlign w:val="bottom"/>
            <w:gridSpan w:val="2"/>
          </w:tcPr>
          <w:p>
            <w:pPr>
              <w:jc w:val="right"/>
              <w:ind w:right="120"/>
              <w:spacing w:after="0"/>
              <w:rPr>
                <w:sz w:val="20"/>
                <w:szCs w:val="20"/>
                <w:color w:val="auto"/>
              </w:rPr>
            </w:pPr>
            <w:r>
              <w:rPr>
                <w:rFonts w:ascii="Arial" w:cs="Arial" w:eastAsia="Arial" w:hAnsi="Arial"/>
                <w:sz w:val="11"/>
                <w:szCs w:val="11"/>
                <w:color w:val="auto"/>
              </w:rPr>
              <w:t>-11%</w:t>
            </w:r>
          </w:p>
        </w:tc>
        <w:tc>
          <w:tcPr>
            <w:tcW w:w="1020" w:type="dxa"/>
            <w:vAlign w:val="bottom"/>
            <w:gridSpan w:val="2"/>
          </w:tcPr>
          <w:p>
            <w:pPr>
              <w:jc w:val="right"/>
              <w:ind w:right="20"/>
              <w:spacing w:after="0"/>
              <w:rPr>
                <w:sz w:val="20"/>
                <w:szCs w:val="20"/>
                <w:color w:val="auto"/>
              </w:rPr>
            </w:pPr>
            <w:r>
              <w:rPr>
                <w:rFonts w:ascii="Arial" w:cs="Arial" w:eastAsia="Arial" w:hAnsi="Arial"/>
                <w:sz w:val="11"/>
                <w:szCs w:val="11"/>
                <w:color w:val="auto"/>
              </w:rPr>
              <w:t>-5%</w:t>
            </w:r>
          </w:p>
        </w:tc>
      </w:tr>
      <w:tr>
        <w:trPr>
          <w:trHeight w:val="159"/>
        </w:trPr>
        <w:tc>
          <w:tcPr>
            <w:tcW w:w="5640" w:type="dxa"/>
            <w:vAlign w:val="bottom"/>
            <w:shd w:val="clear" w:color="auto" w:fill="CCEEFF"/>
          </w:tcPr>
          <w:p>
            <w:pPr>
              <w:spacing w:after="0" w:line="158" w:lineRule="exact"/>
              <w:rPr>
                <w:sz w:val="20"/>
                <w:szCs w:val="20"/>
                <w:color w:val="auto"/>
              </w:rPr>
            </w:pPr>
            <w:r>
              <w:rPr>
                <w:rFonts w:ascii="Arial" w:cs="Arial" w:eastAsia="Arial" w:hAnsi="Arial"/>
                <w:sz w:val="11"/>
                <w:szCs w:val="11"/>
                <w:color w:val="auto"/>
              </w:rPr>
              <w:t xml:space="preserve">Risk-Weighted Assets (Basel III – IRB) </w:t>
            </w:r>
            <w:r>
              <w:rPr>
                <w:rFonts w:ascii="Arial" w:cs="Arial" w:eastAsia="Arial" w:hAnsi="Arial"/>
                <w:sz w:val="18"/>
                <w:szCs w:val="18"/>
                <w:color w:val="auto"/>
                <w:vertAlign w:val="superscript"/>
              </w:rPr>
              <w:t>(9)</w:t>
            </w:r>
          </w:p>
        </w:tc>
        <w:tc>
          <w:tcPr>
            <w:tcW w:w="260" w:type="dxa"/>
            <w:vAlign w:val="bottom"/>
            <w:gridSpan w:val="2"/>
            <w:shd w:val="clear" w:color="auto" w:fill="CCEEFF"/>
          </w:tcPr>
          <w:p>
            <w:pPr>
              <w:jc w:val="right"/>
              <w:ind w:right="29"/>
              <w:spacing w:after="0"/>
              <w:rPr>
                <w:sz w:val="20"/>
                <w:szCs w:val="20"/>
                <w:color w:val="auto"/>
              </w:rPr>
            </w:pPr>
            <w:r>
              <w:rPr>
                <w:rFonts w:ascii="Arial" w:cs="Arial" w:eastAsia="Arial" w:hAnsi="Arial"/>
                <w:sz w:val="11"/>
                <w:szCs w:val="11"/>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4,374</w:t>
            </w:r>
          </w:p>
        </w:tc>
        <w:tc>
          <w:tcPr>
            <w:tcW w:w="160" w:type="dxa"/>
            <w:vAlign w:val="bottom"/>
            <w:shd w:val="clear" w:color="auto" w:fill="CCEEFF"/>
          </w:tcPr>
          <w:p>
            <w:pPr>
              <w:spacing w:after="0"/>
              <w:rPr>
                <w:sz w:val="13"/>
                <w:szCs w:val="13"/>
                <w:color w:val="auto"/>
              </w:rPr>
            </w:pPr>
          </w:p>
        </w:tc>
        <w:tc>
          <w:tcPr>
            <w:tcW w:w="200" w:type="dxa"/>
            <w:vAlign w:val="bottom"/>
            <w:gridSpan w:val="2"/>
            <w:shd w:val="clear" w:color="auto" w:fill="CCEEFF"/>
          </w:tcPr>
          <w:p>
            <w:pPr>
              <w:jc w:val="right"/>
              <w:ind w:right="9"/>
              <w:spacing w:after="0"/>
              <w:rPr>
                <w:sz w:val="20"/>
                <w:szCs w:val="20"/>
                <w:color w:val="auto"/>
              </w:rPr>
            </w:pPr>
            <w:r>
              <w:rPr>
                <w:rFonts w:ascii="Arial" w:cs="Arial" w:eastAsia="Arial" w:hAnsi="Arial"/>
                <w:sz w:val="11"/>
                <w:szCs w:val="11"/>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3,935</w:t>
            </w:r>
          </w:p>
        </w:tc>
        <w:tc>
          <w:tcPr>
            <w:tcW w:w="220" w:type="dxa"/>
            <w:vAlign w:val="bottom"/>
            <w:shd w:val="clear" w:color="auto" w:fill="CCEEFF"/>
          </w:tcPr>
          <w:p>
            <w:pPr>
              <w:spacing w:after="0"/>
              <w:rPr>
                <w:sz w:val="13"/>
                <w:szCs w:val="13"/>
                <w:color w:val="auto"/>
              </w:rPr>
            </w:pP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4,114</w:t>
            </w: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4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11%</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6%</w:t>
            </w:r>
          </w:p>
        </w:tc>
      </w:tr>
      <w:tr>
        <w:trPr>
          <w:trHeight w:val="159"/>
        </w:trPr>
        <w:tc>
          <w:tcPr>
            <w:tcW w:w="5640" w:type="dxa"/>
            <w:vAlign w:val="bottom"/>
          </w:tcPr>
          <w:p>
            <w:pPr>
              <w:spacing w:after="0" w:line="158" w:lineRule="exact"/>
              <w:rPr>
                <w:sz w:val="20"/>
                <w:szCs w:val="20"/>
                <w:color w:val="auto"/>
              </w:rPr>
            </w:pPr>
            <w:r>
              <w:rPr>
                <w:rFonts w:ascii="Arial" w:cs="Arial" w:eastAsia="Arial" w:hAnsi="Arial"/>
                <w:sz w:val="11"/>
                <w:szCs w:val="11"/>
                <w:color w:val="auto"/>
              </w:rPr>
              <w:t xml:space="preserve">Capital Adequacy Ratio (Regulatory) </w:t>
            </w:r>
            <w:r>
              <w:rPr>
                <w:rFonts w:ascii="Arial" w:cs="Arial" w:eastAsia="Arial" w:hAnsi="Arial"/>
                <w:sz w:val="18"/>
                <w:szCs w:val="18"/>
                <w:color w:val="auto"/>
                <w:vertAlign w:val="superscript"/>
              </w:rPr>
              <w:t>(10)</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1"/>
                <w:szCs w:val="11"/>
                <w:color w:val="auto"/>
              </w:rPr>
              <w:t>18.2%</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1"/>
                <w:szCs w:val="11"/>
                <w:color w:val="auto"/>
              </w:rPr>
              <w:t>19.4%</w:t>
            </w:r>
          </w:p>
        </w:tc>
        <w:tc>
          <w:tcPr>
            <w:tcW w:w="14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1"/>
                <w:szCs w:val="11"/>
                <w:color w:val="auto"/>
              </w:rPr>
              <w:t>22.1%</w:t>
            </w:r>
          </w:p>
        </w:tc>
        <w:tc>
          <w:tcPr>
            <w:tcW w:w="700" w:type="dxa"/>
            <w:vAlign w:val="bottom"/>
          </w:tcPr>
          <w:p>
            <w:pPr>
              <w:spacing w:after="0"/>
              <w:rPr>
                <w:sz w:val="13"/>
                <w:szCs w:val="13"/>
                <w:color w:val="auto"/>
              </w:rPr>
            </w:pPr>
          </w:p>
        </w:tc>
        <w:tc>
          <w:tcPr>
            <w:tcW w:w="400" w:type="dxa"/>
            <w:vAlign w:val="bottom"/>
            <w:gridSpan w:val="2"/>
          </w:tcPr>
          <w:p>
            <w:pPr>
              <w:jc w:val="right"/>
              <w:ind w:right="120"/>
              <w:spacing w:after="0"/>
              <w:rPr>
                <w:sz w:val="20"/>
                <w:szCs w:val="20"/>
                <w:color w:val="auto"/>
              </w:rPr>
            </w:pPr>
            <w:r>
              <w:rPr>
                <w:rFonts w:ascii="Arial" w:cs="Arial" w:eastAsia="Arial" w:hAnsi="Arial"/>
                <w:sz w:val="11"/>
                <w:szCs w:val="11"/>
                <w:color w:val="auto"/>
              </w:rPr>
              <w:t>-6%</w:t>
            </w:r>
          </w:p>
        </w:tc>
        <w:tc>
          <w:tcPr>
            <w:tcW w:w="1020" w:type="dxa"/>
            <w:vAlign w:val="bottom"/>
            <w:gridSpan w:val="2"/>
          </w:tcPr>
          <w:p>
            <w:pPr>
              <w:jc w:val="right"/>
              <w:ind w:right="20"/>
              <w:spacing w:after="0"/>
              <w:rPr>
                <w:sz w:val="20"/>
                <w:szCs w:val="20"/>
                <w:color w:val="auto"/>
              </w:rPr>
            </w:pPr>
            <w:r>
              <w:rPr>
                <w:rFonts w:ascii="Arial" w:cs="Arial" w:eastAsia="Arial" w:hAnsi="Arial"/>
                <w:sz w:val="11"/>
                <w:szCs w:val="11"/>
                <w:color w:val="auto"/>
              </w:rPr>
              <w:t>-18%</w:t>
            </w:r>
          </w:p>
        </w:tc>
      </w:tr>
      <w:tr>
        <w:trPr>
          <w:trHeight w:val="159"/>
        </w:trPr>
        <w:tc>
          <w:tcPr>
            <w:tcW w:w="5640" w:type="dxa"/>
            <w:vAlign w:val="bottom"/>
            <w:shd w:val="clear" w:color="auto" w:fill="CCEEFF"/>
          </w:tcPr>
          <w:p>
            <w:pPr>
              <w:spacing w:after="0" w:line="158" w:lineRule="exact"/>
              <w:rPr>
                <w:sz w:val="20"/>
                <w:szCs w:val="20"/>
                <w:color w:val="auto"/>
              </w:rPr>
            </w:pPr>
            <w:r>
              <w:rPr>
                <w:rFonts w:ascii="Arial" w:cs="Arial" w:eastAsia="Arial" w:hAnsi="Arial"/>
                <w:sz w:val="11"/>
                <w:szCs w:val="11"/>
                <w:color w:val="auto"/>
              </w:rPr>
              <w:t xml:space="preserve">Risk-Weighted Assets (Regulatory) </w:t>
            </w:r>
            <w:r>
              <w:rPr>
                <w:rFonts w:ascii="Arial" w:cs="Arial" w:eastAsia="Arial" w:hAnsi="Arial"/>
                <w:sz w:val="18"/>
                <w:szCs w:val="18"/>
                <w:color w:val="auto"/>
                <w:vertAlign w:val="superscript"/>
              </w:rPr>
              <w:t>(10)</w:t>
            </w:r>
          </w:p>
        </w:tc>
        <w:tc>
          <w:tcPr>
            <w:tcW w:w="260" w:type="dxa"/>
            <w:vAlign w:val="bottom"/>
            <w:gridSpan w:val="2"/>
            <w:shd w:val="clear" w:color="auto" w:fill="CCEEFF"/>
          </w:tcPr>
          <w:p>
            <w:pPr>
              <w:jc w:val="right"/>
              <w:ind w:right="29"/>
              <w:spacing w:after="0"/>
              <w:rPr>
                <w:sz w:val="20"/>
                <w:szCs w:val="20"/>
                <w:color w:val="auto"/>
              </w:rPr>
            </w:pPr>
            <w:r>
              <w:rPr>
                <w:rFonts w:ascii="Arial" w:cs="Arial" w:eastAsia="Arial" w:hAnsi="Arial"/>
                <w:sz w:val="11"/>
                <w:szCs w:val="11"/>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5,783</w:t>
            </w:r>
          </w:p>
        </w:tc>
        <w:tc>
          <w:tcPr>
            <w:tcW w:w="160" w:type="dxa"/>
            <w:vAlign w:val="bottom"/>
            <w:shd w:val="clear" w:color="auto" w:fill="CCEEFF"/>
          </w:tcPr>
          <w:p>
            <w:pPr>
              <w:spacing w:after="0"/>
              <w:rPr>
                <w:sz w:val="13"/>
                <w:szCs w:val="13"/>
                <w:color w:val="auto"/>
              </w:rPr>
            </w:pPr>
          </w:p>
        </w:tc>
        <w:tc>
          <w:tcPr>
            <w:tcW w:w="200" w:type="dxa"/>
            <w:vAlign w:val="bottom"/>
            <w:gridSpan w:val="2"/>
            <w:shd w:val="clear" w:color="auto" w:fill="CCEEFF"/>
          </w:tcPr>
          <w:p>
            <w:pPr>
              <w:jc w:val="right"/>
              <w:ind w:right="9"/>
              <w:spacing w:after="0"/>
              <w:rPr>
                <w:sz w:val="20"/>
                <w:szCs w:val="20"/>
                <w:color w:val="auto"/>
              </w:rPr>
            </w:pPr>
            <w:r>
              <w:rPr>
                <w:rFonts w:ascii="Arial" w:cs="Arial" w:eastAsia="Arial" w:hAnsi="Arial"/>
                <w:sz w:val="11"/>
                <w:szCs w:val="11"/>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5,431</w:t>
            </w:r>
          </w:p>
        </w:tc>
        <w:tc>
          <w:tcPr>
            <w:tcW w:w="220" w:type="dxa"/>
            <w:vAlign w:val="bottom"/>
            <w:shd w:val="clear" w:color="auto" w:fill="CCEEFF"/>
          </w:tcPr>
          <w:p>
            <w:pPr>
              <w:spacing w:after="0"/>
              <w:rPr>
                <w:sz w:val="13"/>
                <w:szCs w:val="13"/>
                <w:color w:val="auto"/>
              </w:rPr>
            </w:pP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1"/>
                <w:szCs w:val="11"/>
                <w:color w:val="auto"/>
              </w:rPr>
              <w:t>4,684</w:t>
            </w:r>
          </w:p>
        </w:tc>
        <w:tc>
          <w:tcPr>
            <w:tcW w:w="700" w:type="dxa"/>
            <w:vAlign w:val="bottom"/>
            <w:shd w:val="clear" w:color="auto" w:fill="CCEEFF"/>
          </w:tcPr>
          <w:p>
            <w:pPr>
              <w:spacing w:after="0"/>
              <w:rPr>
                <w:sz w:val="13"/>
                <w:szCs w:val="13"/>
                <w:color w:val="auto"/>
              </w:rPr>
            </w:pPr>
          </w:p>
        </w:tc>
        <w:tc>
          <w:tcPr>
            <w:tcW w:w="4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23%</w:t>
            </w:r>
          </w:p>
        </w:tc>
      </w:tr>
      <w:tr>
        <w:trPr>
          <w:trHeight w:val="122"/>
        </w:trPr>
        <w:tc>
          <w:tcPr>
            <w:tcW w:w="5640" w:type="dxa"/>
            <w:vAlign w:val="bottom"/>
          </w:tcPr>
          <w:p>
            <w:pPr>
              <w:spacing w:after="0" w:line="122" w:lineRule="exact"/>
              <w:rPr>
                <w:sz w:val="20"/>
                <w:szCs w:val="20"/>
                <w:color w:val="auto"/>
              </w:rPr>
            </w:pPr>
            <w:r>
              <w:rPr>
                <w:rFonts w:ascii="Arial" w:cs="Arial" w:eastAsia="Arial" w:hAnsi="Arial"/>
                <w:sz w:val="11"/>
                <w:szCs w:val="11"/>
                <w:color w:val="auto"/>
              </w:rPr>
              <w:t>Total assets / Total equity (times)</w:t>
            </w: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jc w:val="right"/>
              <w:spacing w:after="0" w:line="122" w:lineRule="exact"/>
              <w:rPr>
                <w:sz w:val="20"/>
                <w:szCs w:val="20"/>
                <w:color w:val="auto"/>
              </w:rPr>
            </w:pPr>
            <w:r>
              <w:rPr>
                <w:rFonts w:ascii="Arial" w:cs="Arial" w:eastAsia="Arial" w:hAnsi="Arial"/>
                <w:sz w:val="11"/>
                <w:szCs w:val="11"/>
                <w:color w:val="auto"/>
              </w:rPr>
              <w:t>6.5</w:t>
            </w: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60" w:type="dxa"/>
            <w:vAlign w:val="bottom"/>
          </w:tcPr>
          <w:p>
            <w:pPr>
              <w:jc w:val="right"/>
              <w:spacing w:after="0" w:line="122" w:lineRule="exact"/>
              <w:rPr>
                <w:sz w:val="20"/>
                <w:szCs w:val="20"/>
                <w:color w:val="auto"/>
              </w:rPr>
            </w:pPr>
            <w:r>
              <w:rPr>
                <w:rFonts w:ascii="Arial" w:cs="Arial" w:eastAsia="Arial" w:hAnsi="Arial"/>
                <w:sz w:val="11"/>
                <w:szCs w:val="11"/>
                <w:color w:val="auto"/>
              </w:rPr>
              <w:t>6.1</w:t>
            </w: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9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6.5</w:t>
            </w:r>
          </w:p>
        </w:tc>
        <w:tc>
          <w:tcPr>
            <w:tcW w:w="700" w:type="dxa"/>
            <w:vAlign w:val="bottom"/>
          </w:tcPr>
          <w:p>
            <w:pPr>
              <w:spacing w:after="0"/>
              <w:rPr>
                <w:sz w:val="10"/>
                <w:szCs w:val="10"/>
                <w:color w:val="auto"/>
              </w:rPr>
            </w:pPr>
          </w:p>
        </w:tc>
        <w:tc>
          <w:tcPr>
            <w:tcW w:w="40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w:t>
            </w:r>
          </w:p>
        </w:tc>
        <w:tc>
          <w:tcPr>
            <w:tcW w:w="102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1%</w:t>
            </w:r>
          </w:p>
        </w:tc>
      </w:tr>
      <w:tr>
        <w:trPr>
          <w:trHeight w:val="122"/>
        </w:trPr>
        <w:tc>
          <w:tcPr>
            <w:tcW w:w="56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Shares outstanding (in thousand)</w:t>
            </w:r>
          </w:p>
        </w:tc>
        <w:tc>
          <w:tcPr>
            <w:tcW w:w="1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39,361</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9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39,703</w:t>
            </w:r>
          </w:p>
        </w:tc>
        <w:tc>
          <w:tcPr>
            <w:tcW w:w="140" w:type="dxa"/>
            <w:vAlign w:val="bottom"/>
            <w:shd w:val="clear" w:color="auto" w:fill="CCEEFF"/>
          </w:tcPr>
          <w:p>
            <w:pPr>
              <w:spacing w:after="0"/>
              <w:rPr>
                <w:sz w:val="10"/>
                <w:szCs w:val="10"/>
                <w:color w:val="auto"/>
              </w:rPr>
            </w:pPr>
          </w:p>
        </w:tc>
        <w:tc>
          <w:tcPr>
            <w:tcW w:w="9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39,672</w:t>
            </w:r>
          </w:p>
        </w:tc>
        <w:tc>
          <w:tcPr>
            <w:tcW w:w="700" w:type="dxa"/>
            <w:vAlign w:val="bottom"/>
            <w:shd w:val="clear" w:color="auto" w:fill="CCEEFF"/>
          </w:tcPr>
          <w:p>
            <w:pPr>
              <w:spacing w:after="0"/>
              <w:rPr>
                <w:sz w:val="10"/>
                <w:szCs w:val="10"/>
                <w:color w:val="auto"/>
              </w:rPr>
            </w:pPr>
          </w:p>
        </w:tc>
        <w:tc>
          <w:tcPr>
            <w:tcW w:w="40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w:t>
            </w:r>
          </w:p>
        </w:tc>
        <w:tc>
          <w:tcPr>
            <w:tcW w:w="102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-1%</w:t>
            </w:r>
          </w:p>
        </w:tc>
      </w:tr>
    </w:tbl>
    <w:p>
      <w:pPr>
        <w:spacing w:after="0" w:line="183" w:lineRule="exact"/>
        <w:rPr>
          <w:sz w:val="20"/>
          <w:szCs w:val="20"/>
          <w:color w:val="auto"/>
        </w:rPr>
      </w:pPr>
    </w:p>
    <w:p>
      <w:pPr>
        <w:jc w:val="both"/>
        <w:ind w:right="80"/>
        <w:spacing w:after="0" w:line="269" w:lineRule="auto"/>
        <w:rPr>
          <w:sz w:val="20"/>
          <w:szCs w:val="20"/>
          <w:color w:val="auto"/>
        </w:rPr>
      </w:pPr>
      <w:r>
        <w:rPr>
          <w:rFonts w:ascii="Arial" w:cs="Arial" w:eastAsia="Arial" w:hAnsi="Arial"/>
          <w:sz w:val="16"/>
          <w:szCs w:val="16"/>
          <w:color w:val="auto"/>
        </w:rPr>
        <w:t>The Bank’s equity consists entirely of issued and fully paid ordinary common stock, with 39.4 million common shares outstanding as of June 30, 2021. At the same date, the Bank’s ratio of total assets to total equity stood at 6.5 times, and the Bank’s Tier 1 Basel III Capital Ratio stood at 23.6%, in which risk-weighted assets are calculated under the advanced internal ratings-based approach (IRB) for credit risk.</w:t>
      </w:r>
    </w:p>
    <w:p>
      <w:pPr>
        <w:spacing w:after="0" w:line="162" w:lineRule="exact"/>
        <w:rPr>
          <w:sz w:val="20"/>
          <w:szCs w:val="20"/>
          <w:color w:val="auto"/>
        </w:rPr>
      </w:pPr>
    </w:p>
    <w:p>
      <w:pPr>
        <w:jc w:val="both"/>
        <w:ind w:right="80"/>
        <w:spacing w:after="0" w:line="284" w:lineRule="auto"/>
        <w:rPr>
          <w:sz w:val="20"/>
          <w:szCs w:val="20"/>
          <w:color w:val="auto"/>
        </w:rPr>
      </w:pPr>
      <w:r>
        <w:rPr>
          <w:rFonts w:ascii="Arial" w:cs="Arial" w:eastAsia="Arial" w:hAnsi="Arial"/>
          <w:sz w:val="16"/>
          <w:szCs w:val="16"/>
          <w:color w:val="auto"/>
        </w:rPr>
        <w:t>In addition, the Bank’s Capital Adequacy Ratio, as defined by Panama’s banking regulator, was 18.2% as of June 30, 2021, well above the required minimum of 8%. Under this methodology, credit risk-weighted assets are calculated under Basel’s standardized approach.</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RECENT EVENTS</w:t>
      </w:r>
    </w:p>
    <w:p>
      <w:pPr>
        <w:spacing w:after="0" w:line="207" w:lineRule="exact"/>
        <w:rPr>
          <w:sz w:val="20"/>
          <w:szCs w:val="20"/>
          <w:color w:val="auto"/>
        </w:rPr>
      </w:pPr>
    </w:p>
    <w:p>
      <w:pPr>
        <w:ind w:left="580" w:right="20" w:hanging="289"/>
        <w:spacing w:after="0" w:line="289" w:lineRule="auto"/>
        <w:tabs>
          <w:tab w:leader="none" w:pos="580" w:val="left"/>
        </w:tabs>
        <w:numPr>
          <w:ilvl w:val="0"/>
          <w:numId w:val="3"/>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Board approved a quarterly common dividend of $0.25 per share corresponding to the second quarter 2021. The cash dividend</w:t>
      </w:r>
      <w:r>
        <w:rPr>
          <w:rFonts w:ascii="Arial" w:cs="Arial" w:eastAsia="Arial" w:hAnsi="Arial"/>
          <w:sz w:val="16"/>
          <w:szCs w:val="16"/>
          <w:b w:val="1"/>
          <w:bCs w:val="1"/>
          <w:color w:val="auto"/>
        </w:rPr>
        <w:t xml:space="preserve"> </w:t>
      </w:r>
      <w:r>
        <w:rPr>
          <w:rFonts w:ascii="Arial" w:cs="Arial" w:eastAsia="Arial" w:hAnsi="Arial"/>
          <w:sz w:val="16"/>
          <w:szCs w:val="16"/>
          <w:color w:val="auto"/>
        </w:rPr>
        <w:t>will be paid on August 24, 2021, to shareholders registered as of August 9, 2021.</w:t>
      </w:r>
    </w:p>
    <w:p>
      <w:pPr>
        <w:spacing w:after="0" w:line="366" w:lineRule="exact"/>
        <w:rPr>
          <w:sz w:val="20"/>
          <w:szCs w:val="20"/>
          <w:color w:val="auto"/>
        </w:rPr>
      </w:pPr>
    </w:p>
    <w:p>
      <w:pPr>
        <w:ind w:left="11040"/>
        <w:spacing w:after="0"/>
        <w:rPr>
          <w:sz w:val="20"/>
          <w:szCs w:val="20"/>
          <w:color w:val="auto"/>
        </w:rPr>
      </w:pPr>
      <w:r>
        <w:rPr>
          <w:rFonts w:ascii="Arial" w:cs="Arial" w:eastAsia="Arial" w:hAnsi="Arial"/>
          <w:sz w:val="16"/>
          <w:szCs w:val="16"/>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553720</wp:posOffset>
            </wp:positionV>
            <wp:extent cx="7202170" cy="10928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left="580" w:hanging="289"/>
        <w:spacing w:after="0" w:line="289" w:lineRule="auto"/>
        <w:tabs>
          <w:tab w:leader="none" w:pos="58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Stock Repurchase Program: </w:t>
      </w:r>
      <w:r>
        <w:rPr>
          <w:rFonts w:ascii="Arial" w:cs="Arial" w:eastAsia="Arial" w:hAnsi="Arial"/>
          <w:sz w:val="16"/>
          <w:szCs w:val="16"/>
          <w:color w:val="auto"/>
        </w:rPr>
        <w:t>As of the date of this report, since the on-set of the Stock Repurchase Program in mid-May of 2021, Bladex has repurchased 728</w:t>
      </w:r>
      <w:r>
        <w:rPr>
          <w:rFonts w:ascii="Arial" w:cs="Arial" w:eastAsia="Arial" w:hAnsi="Arial"/>
          <w:sz w:val="16"/>
          <w:szCs w:val="16"/>
          <w:b w:val="1"/>
          <w:bCs w:val="1"/>
          <w:color w:val="auto"/>
        </w:rPr>
        <w:t xml:space="preserve"> </w:t>
      </w:r>
      <w:r>
        <w:rPr>
          <w:rFonts w:ascii="Arial" w:cs="Arial" w:eastAsia="Arial" w:hAnsi="Arial"/>
          <w:sz w:val="16"/>
          <w:szCs w:val="16"/>
          <w:color w:val="auto"/>
        </w:rPr>
        <w:t>thousand Class E common shares for a total of $11.2 million, out of the $60 million approved by the Board.</w:t>
      </w:r>
    </w:p>
    <w:p>
      <w:pPr>
        <w:spacing w:after="0" w:line="142" w:lineRule="exact"/>
        <w:rPr>
          <w:rFonts w:ascii="Arial" w:cs="Arial" w:eastAsia="Arial" w:hAnsi="Arial"/>
          <w:sz w:val="16"/>
          <w:szCs w:val="16"/>
          <w:color w:val="auto"/>
        </w:rPr>
      </w:pPr>
    </w:p>
    <w:p>
      <w:pPr>
        <w:ind w:left="580" w:right="60" w:hanging="289"/>
        <w:spacing w:after="0" w:line="289" w:lineRule="auto"/>
        <w:tabs>
          <w:tab w:leader="none" w:pos="58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Strategic Planning Office: </w:t>
      </w:r>
      <w:r>
        <w:rPr>
          <w:rFonts w:ascii="Arial" w:cs="Arial" w:eastAsia="Arial" w:hAnsi="Arial"/>
          <w:sz w:val="16"/>
          <w:szCs w:val="16"/>
          <w:color w:val="auto"/>
        </w:rPr>
        <w:t>Bladex recently incorporated a new strategic planning and management position, reporting to the CEO, to align its organizational</w:t>
      </w:r>
      <w:r>
        <w:rPr>
          <w:rFonts w:ascii="Arial" w:cs="Arial" w:eastAsia="Arial" w:hAnsi="Arial"/>
          <w:sz w:val="16"/>
          <w:szCs w:val="16"/>
          <w:b w:val="1"/>
          <w:bCs w:val="1"/>
          <w:color w:val="auto"/>
        </w:rPr>
        <w:t xml:space="preserve"> </w:t>
      </w:r>
      <w:r>
        <w:rPr>
          <w:rFonts w:ascii="Arial" w:cs="Arial" w:eastAsia="Arial" w:hAnsi="Arial"/>
          <w:sz w:val="16"/>
          <w:szCs w:val="16"/>
          <w:color w:val="auto"/>
        </w:rPr>
        <w:t>structure seeking to enhance the Bank’s execution capabilities and effectiveness.</w:t>
      </w:r>
    </w:p>
    <w:p>
      <w:pPr>
        <w:spacing w:after="0" w:line="14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Notes:</w:t>
      </w:r>
    </w:p>
    <w:p>
      <w:pPr>
        <w:spacing w:after="0" w:line="211" w:lineRule="exact"/>
        <w:rPr>
          <w:sz w:val="20"/>
          <w:szCs w:val="20"/>
          <w:color w:val="auto"/>
        </w:rPr>
      </w:pPr>
    </w:p>
    <w:p>
      <w:pPr>
        <w:ind w:left="580" w:hanging="289"/>
        <w:spacing w:after="0"/>
        <w:tabs>
          <w:tab w:leader="none" w:pos="580" w:val="left"/>
        </w:tabs>
        <w:numPr>
          <w:ilvl w:val="0"/>
          <w:numId w:val="5"/>
        </w:numPr>
        <w:rPr>
          <w:rFonts w:ascii="Arial" w:cs="Arial" w:eastAsia="Arial" w:hAnsi="Arial"/>
          <w:sz w:val="16"/>
          <w:szCs w:val="16"/>
          <w:color w:val="auto"/>
        </w:rPr>
      </w:pPr>
      <w:r>
        <w:rPr>
          <w:rFonts w:ascii="Arial" w:cs="Arial" w:eastAsia="Arial" w:hAnsi="Arial"/>
          <w:sz w:val="16"/>
          <w:szCs w:val="16"/>
          <w:color w:val="auto"/>
        </w:rPr>
        <w:t>Numbers and percentages set forth in this earnings release have been rounded and accordingly may not total exactly.</w:t>
      </w:r>
    </w:p>
    <w:p>
      <w:pPr>
        <w:spacing w:after="0" w:line="206" w:lineRule="exact"/>
        <w:rPr>
          <w:rFonts w:ascii="Arial" w:cs="Arial" w:eastAsia="Arial" w:hAnsi="Arial"/>
          <w:sz w:val="16"/>
          <w:szCs w:val="16"/>
          <w:color w:val="auto"/>
        </w:rPr>
      </w:pPr>
    </w:p>
    <w:p>
      <w:pPr>
        <w:ind w:left="580" w:hanging="289"/>
        <w:spacing w:after="0"/>
        <w:tabs>
          <w:tab w:leader="none" w:pos="580" w:val="left"/>
        </w:tabs>
        <w:numPr>
          <w:ilvl w:val="0"/>
          <w:numId w:val="5"/>
        </w:numPr>
        <w:rPr>
          <w:rFonts w:ascii="Arial" w:cs="Arial" w:eastAsia="Arial" w:hAnsi="Arial"/>
          <w:sz w:val="16"/>
          <w:szCs w:val="16"/>
          <w:color w:val="auto"/>
        </w:rPr>
      </w:pPr>
      <w:r>
        <w:rPr>
          <w:rFonts w:ascii="Arial" w:cs="Arial" w:eastAsia="Arial" w:hAnsi="Arial"/>
          <w:sz w:val="16"/>
          <w:szCs w:val="16"/>
          <w:color w:val="auto"/>
        </w:rPr>
        <w:t>QoQ and YoY refer to quarter-on-quarter and year-on-year variations, respectively.</w:t>
      </w:r>
    </w:p>
    <w:p>
      <w:pPr>
        <w:spacing w:after="0" w:line="20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Footnotes:</w:t>
      </w:r>
    </w:p>
    <w:p>
      <w:pPr>
        <w:spacing w:after="0" w:line="211" w:lineRule="exact"/>
        <w:rPr>
          <w:sz w:val="20"/>
          <w:szCs w:val="20"/>
          <w:color w:val="auto"/>
        </w:rPr>
      </w:pPr>
    </w:p>
    <w:p>
      <w:pPr>
        <w:ind w:left="580" w:hanging="289"/>
        <w:spacing w:after="0"/>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Earnings per Share (“EPS”) calculation is based on the average number of shares outstanding during each period.</w:t>
      </w:r>
    </w:p>
    <w:p>
      <w:pPr>
        <w:spacing w:after="0" w:line="206" w:lineRule="exact"/>
        <w:rPr>
          <w:rFonts w:ascii="Arial" w:cs="Arial" w:eastAsia="Arial" w:hAnsi="Arial"/>
          <w:sz w:val="16"/>
          <w:szCs w:val="16"/>
          <w:color w:val="auto"/>
        </w:rPr>
      </w:pPr>
    </w:p>
    <w:p>
      <w:pPr>
        <w:ind w:left="580" w:hanging="289"/>
        <w:spacing w:after="0"/>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ROAE refers to return on average stockholders’ equity which is calculated on the basis of unaudited daily average balances.</w:t>
      </w:r>
    </w:p>
    <w:p>
      <w:pPr>
        <w:spacing w:after="0" w:line="206" w:lineRule="exact"/>
        <w:rPr>
          <w:rFonts w:ascii="Arial" w:cs="Arial" w:eastAsia="Arial" w:hAnsi="Arial"/>
          <w:sz w:val="16"/>
          <w:szCs w:val="16"/>
          <w:color w:val="auto"/>
        </w:rPr>
      </w:pPr>
    </w:p>
    <w:p>
      <w:pPr>
        <w:ind w:left="580" w:hanging="289"/>
        <w:spacing w:after="0"/>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NIM refers to net interest margin which constitutes to Net Interest Income (“NII”) divided by the average balance of interest-earning assets.</w:t>
      </w:r>
    </w:p>
    <w:p>
      <w:pPr>
        <w:spacing w:after="0" w:line="206" w:lineRule="exact"/>
        <w:rPr>
          <w:rFonts w:ascii="Arial" w:cs="Arial" w:eastAsia="Arial" w:hAnsi="Arial"/>
          <w:sz w:val="16"/>
          <w:szCs w:val="16"/>
          <w:color w:val="auto"/>
        </w:rPr>
      </w:pPr>
    </w:p>
    <w:p>
      <w:pPr>
        <w:ind w:left="580" w:hanging="289"/>
        <w:spacing w:after="0"/>
        <w:tabs>
          <w:tab w:leader="none" w:pos="580" w:val="left"/>
        </w:tabs>
        <w:numPr>
          <w:ilvl w:val="0"/>
          <w:numId w:val="6"/>
        </w:numPr>
        <w:rPr>
          <w:rFonts w:ascii="Arial" w:cs="Arial" w:eastAsia="Arial" w:hAnsi="Arial"/>
          <w:sz w:val="15"/>
          <w:szCs w:val="15"/>
          <w:color w:val="auto"/>
        </w:rPr>
      </w:pPr>
      <w:r>
        <w:rPr>
          <w:rFonts w:ascii="Arial" w:cs="Arial" w:eastAsia="Arial" w:hAnsi="Arial"/>
          <w:sz w:val="15"/>
          <w:szCs w:val="15"/>
          <w:color w:val="auto"/>
        </w:rPr>
        <w:t>NIS refers to net interest spread which constitutes the average yield earned on interest-earning assets, less the average yield paid on interest-bearing liabilities.</w:t>
      </w:r>
    </w:p>
    <w:p>
      <w:pPr>
        <w:spacing w:after="0" w:line="218" w:lineRule="exact"/>
        <w:rPr>
          <w:rFonts w:ascii="Arial" w:cs="Arial" w:eastAsia="Arial" w:hAnsi="Arial"/>
          <w:sz w:val="15"/>
          <w:szCs w:val="15"/>
          <w:color w:val="auto"/>
        </w:rPr>
      </w:pPr>
    </w:p>
    <w:p>
      <w:pPr>
        <w:ind w:left="580" w:hanging="289"/>
        <w:spacing w:after="0"/>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Efficiency Ratio refers to consolidated operating expenses as a percentage of total revenues.</w:t>
      </w:r>
    </w:p>
    <w:p>
      <w:pPr>
        <w:spacing w:after="0" w:line="206" w:lineRule="exact"/>
        <w:rPr>
          <w:rFonts w:ascii="Arial" w:cs="Arial" w:eastAsia="Arial" w:hAnsi="Arial"/>
          <w:sz w:val="16"/>
          <w:szCs w:val="16"/>
          <w:color w:val="auto"/>
        </w:rPr>
      </w:pPr>
    </w:p>
    <w:p>
      <w:pPr>
        <w:jc w:val="both"/>
        <w:ind w:left="580" w:right="60" w:hanging="289"/>
        <w:spacing w:after="0" w:line="269"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2" w:lineRule="exact"/>
        <w:rPr>
          <w:rFonts w:ascii="Arial" w:cs="Arial" w:eastAsia="Arial" w:hAnsi="Arial"/>
          <w:sz w:val="16"/>
          <w:szCs w:val="16"/>
          <w:color w:val="auto"/>
        </w:rPr>
      </w:pPr>
    </w:p>
    <w:p>
      <w:pPr>
        <w:jc w:val="both"/>
        <w:ind w:left="580" w:right="60" w:hanging="289"/>
        <w:spacing w:after="0" w:line="269"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62" w:lineRule="exact"/>
        <w:rPr>
          <w:rFonts w:ascii="Arial" w:cs="Arial" w:eastAsia="Arial" w:hAnsi="Arial"/>
          <w:sz w:val="16"/>
          <w:szCs w:val="16"/>
          <w:color w:val="auto"/>
        </w:rPr>
      </w:pPr>
    </w:p>
    <w:p>
      <w:pPr>
        <w:ind w:left="580" w:hanging="289"/>
        <w:spacing w:after="0"/>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06" w:lineRule="exact"/>
        <w:rPr>
          <w:rFonts w:ascii="Arial" w:cs="Arial" w:eastAsia="Arial" w:hAnsi="Arial"/>
          <w:sz w:val="16"/>
          <w:szCs w:val="16"/>
          <w:color w:val="auto"/>
        </w:rPr>
      </w:pPr>
    </w:p>
    <w:p>
      <w:pPr>
        <w:jc w:val="both"/>
        <w:ind w:left="580" w:right="80" w:hanging="289"/>
        <w:spacing w:after="0" w:line="269"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62" w:lineRule="exact"/>
        <w:rPr>
          <w:rFonts w:ascii="Arial" w:cs="Arial" w:eastAsia="Arial" w:hAnsi="Arial"/>
          <w:sz w:val="16"/>
          <w:szCs w:val="16"/>
          <w:color w:val="auto"/>
        </w:rPr>
      </w:pPr>
    </w:p>
    <w:p>
      <w:pPr>
        <w:jc w:val="both"/>
        <w:ind w:left="580" w:right="60" w:hanging="289"/>
        <w:spacing w:after="0" w:line="269"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62" w:lineRule="exact"/>
        <w:rPr>
          <w:rFonts w:ascii="Arial" w:cs="Arial" w:eastAsia="Arial" w:hAnsi="Arial"/>
          <w:sz w:val="16"/>
          <w:szCs w:val="16"/>
          <w:color w:val="auto"/>
        </w:rPr>
      </w:pPr>
    </w:p>
    <w:p>
      <w:pPr>
        <w:ind w:left="580" w:right="80" w:hanging="289"/>
        <w:spacing w:after="0" w:line="319" w:lineRule="auto"/>
        <w:tabs>
          <w:tab w:leader="none" w:pos="580" w:val="left"/>
        </w:tabs>
        <w:numPr>
          <w:ilvl w:val="0"/>
          <w:numId w:val="6"/>
        </w:numPr>
        <w:rPr>
          <w:rFonts w:ascii="Arial" w:cs="Arial" w:eastAsia="Arial" w:hAnsi="Arial"/>
          <w:sz w:val="15"/>
          <w:szCs w:val="15"/>
          <w:color w:val="auto"/>
        </w:rPr>
      </w:pPr>
      <w:r>
        <w:rPr>
          <w:rFonts w:ascii="Arial" w:cs="Arial" w:eastAsia="Arial" w:hAnsi="Arial"/>
          <w:sz w:val="15"/>
          <w:szCs w:val="15"/>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27" w:lineRule="exact"/>
        <w:rPr>
          <w:rFonts w:ascii="Arial" w:cs="Arial" w:eastAsia="Arial" w:hAnsi="Arial"/>
          <w:sz w:val="15"/>
          <w:szCs w:val="15"/>
          <w:color w:val="auto"/>
        </w:rPr>
      </w:pPr>
    </w:p>
    <w:p>
      <w:pPr>
        <w:ind w:left="580" w:right="60" w:hanging="289"/>
        <w:spacing w:after="0" w:line="284"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50" w:lineRule="exact"/>
        <w:rPr>
          <w:rFonts w:ascii="Arial" w:cs="Arial" w:eastAsia="Arial" w:hAnsi="Arial"/>
          <w:sz w:val="16"/>
          <w:szCs w:val="16"/>
          <w:color w:val="auto"/>
        </w:rPr>
      </w:pPr>
    </w:p>
    <w:p>
      <w:pPr>
        <w:ind w:left="580" w:right="60" w:hanging="289"/>
        <w:spacing w:after="0" w:line="284" w:lineRule="auto"/>
        <w:tabs>
          <w:tab w:leader="none" w:pos="580" w:val="left"/>
        </w:tabs>
        <w:numPr>
          <w:ilvl w:val="0"/>
          <w:numId w:val="6"/>
        </w:numPr>
        <w:rPr>
          <w:rFonts w:ascii="Arial" w:cs="Arial" w:eastAsia="Arial" w:hAnsi="Arial"/>
          <w:sz w:val="16"/>
          <w:szCs w:val="16"/>
          <w:color w:val="auto"/>
        </w:rPr>
      </w:pPr>
      <w:r>
        <w:rPr>
          <w:rFonts w:ascii="Arial" w:cs="Arial" w:eastAsia="Arial" w:hAnsi="Arial"/>
          <w:sz w:val="16"/>
          <w:szCs w:val="16"/>
          <w:color w:val="auto"/>
        </w:rPr>
        <w:t>Total allowance for losses refers to allowance for loan losses plus allowance for loan commitments and financial guarantee contract losses and allowance for investment securities losses.</w:t>
      </w:r>
    </w:p>
    <w:p>
      <w:pPr>
        <w:spacing w:after="0" w:line="346"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141605</wp:posOffset>
            </wp:positionV>
            <wp:extent cx="7145655" cy="189103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45655" cy="1891030"/>
                    </a:xfrm>
                    <a:prstGeom prst="rect">
                      <a:avLst/>
                    </a:prstGeom>
                    <a:noFill/>
                  </pic:spPr>
                </pic:pic>
              </a:graphicData>
            </a:graphic>
          </wp:anchor>
        </w:drawing>
      </w:r>
    </w:p>
    <w:p>
      <w:pPr>
        <w:spacing w:after="0" w:line="215" w:lineRule="exact"/>
        <w:rPr>
          <w:sz w:val="20"/>
          <w:szCs w:val="20"/>
          <w:color w:val="auto"/>
        </w:rPr>
      </w:pPr>
    </w:p>
    <w:p>
      <w:pPr>
        <w:jc w:val="both"/>
        <w:ind w:left="100" w:right="40"/>
        <w:spacing w:after="0" w:line="275" w:lineRule="auto"/>
        <w:rPr>
          <w:sz w:val="20"/>
          <w:szCs w:val="20"/>
          <w:color w:val="auto"/>
        </w:rPr>
      </w:pPr>
      <w:r>
        <w:rPr>
          <w:rFonts w:ascii="Arial" w:cs="Arial" w:eastAsia="Arial" w:hAnsi="Arial"/>
          <w:sz w:val="15"/>
          <w:szCs w:val="15"/>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18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ABOUT BLADEX</w:t>
      </w:r>
    </w:p>
    <w:p>
      <w:pPr>
        <w:spacing w:after="0" w:line="211" w:lineRule="exact"/>
        <w:rPr>
          <w:sz w:val="20"/>
          <w:szCs w:val="20"/>
          <w:color w:val="auto"/>
        </w:rPr>
      </w:pPr>
    </w:p>
    <w:p>
      <w:pPr>
        <w:jc w:val="both"/>
        <w:ind w:right="20"/>
        <w:spacing w:after="0" w:line="295" w:lineRule="auto"/>
        <w:rPr>
          <w:sz w:val="20"/>
          <w:szCs w:val="20"/>
          <w:color w:val="auto"/>
        </w:rPr>
      </w:pPr>
      <w:r>
        <w:rPr>
          <w:rFonts w:ascii="Arial" w:cs="Arial" w:eastAsia="Arial" w:hAnsi="Arial"/>
          <w:sz w:val="15"/>
          <w:szCs w:val="15"/>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45" w:lineRule="exact"/>
        <w:rPr>
          <w:sz w:val="20"/>
          <w:szCs w:val="20"/>
          <w:color w:val="auto"/>
        </w:rPr>
      </w:pPr>
    </w:p>
    <w:p>
      <w:pPr>
        <w:jc w:val="both"/>
        <w:ind w:right="20"/>
        <w:spacing w:after="0" w:line="319" w:lineRule="auto"/>
        <w:rPr>
          <w:sz w:val="20"/>
          <w:szCs w:val="20"/>
          <w:color w:val="auto"/>
        </w:rPr>
      </w:pPr>
      <w:r>
        <w:rPr>
          <w:rFonts w:ascii="Arial" w:cs="Arial" w:eastAsia="Arial" w:hAnsi="Arial"/>
          <w:sz w:val="15"/>
          <w:szCs w:val="15"/>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2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CONFERENCE CALL INFORMATION</w:t>
      </w:r>
    </w:p>
    <w:p>
      <w:pPr>
        <w:spacing w:after="0" w:line="211" w:lineRule="exact"/>
        <w:rPr>
          <w:sz w:val="20"/>
          <w:szCs w:val="20"/>
          <w:color w:val="auto"/>
        </w:rPr>
      </w:pPr>
    </w:p>
    <w:p>
      <w:pPr>
        <w:jc w:val="both"/>
        <w:ind w:right="20"/>
        <w:spacing w:after="0" w:line="264"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July 28, 2021 at 11:00 a.m. New York City time (Eastern Time). For those interested in participating, please dial 1-877-271-1828 in the United States or, if outside the United States, 1-334-323-9871. Participants should use conference passcode 32806397,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67" w:lineRule="exact"/>
        <w:rPr>
          <w:sz w:val="20"/>
          <w:szCs w:val="20"/>
          <w:color w:val="auto"/>
        </w:rPr>
      </w:pPr>
    </w:p>
    <w:p>
      <w:pPr>
        <w:jc w:val="both"/>
        <w:ind w:right="20"/>
        <w:spacing w:after="0" w:line="284" w:lineRule="auto"/>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 (877) 919-4059 or (334) 323-0140 and follow the instructions. The replay passcode is: 38738607.</w:t>
      </w:r>
    </w:p>
    <w:p>
      <w:pPr>
        <w:spacing w:after="0" w:line="150"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For more information, please access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or contact:</w:t>
      </w:r>
    </w:p>
    <w:p>
      <w:pPr>
        <w:spacing w:after="0" w:line="207" w:lineRule="exact"/>
        <w:rPr>
          <w:sz w:val="20"/>
          <w:szCs w:val="20"/>
          <w:color w:val="auto"/>
        </w:rPr>
      </w:pPr>
    </w:p>
    <w:p>
      <w:pPr>
        <w:spacing w:after="0"/>
        <w:rPr>
          <w:sz w:val="20"/>
          <w:szCs w:val="20"/>
          <w:color w:val="auto"/>
        </w:rPr>
      </w:pPr>
      <w:r>
        <w:rPr>
          <w:rFonts w:ascii="Arial" w:cs="Arial" w:eastAsia="Arial" w:hAnsi="Arial"/>
          <w:sz w:val="16"/>
          <w:szCs w:val="16"/>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color w:val="auto"/>
        </w:rPr>
        <w:t>Chief Financial Officer</w:t>
      </w:r>
    </w:p>
    <w:p>
      <w:pPr>
        <w:spacing w:after="0" w:line="11" w:lineRule="exact"/>
        <w:rPr>
          <w:sz w:val="20"/>
          <w:szCs w:val="20"/>
          <w:color w:val="auto"/>
        </w:rPr>
      </w:pPr>
    </w:p>
    <w:p>
      <w:pPr>
        <w:spacing w:after="0"/>
        <w:rPr>
          <w:sz w:val="20"/>
          <w:szCs w:val="20"/>
          <w:color w:val="auto"/>
        </w:rPr>
      </w:pPr>
      <w:r>
        <w:rPr>
          <w:rFonts w:ascii="Arial" w:cs="Arial" w:eastAsia="Arial" w:hAnsi="Arial"/>
          <w:sz w:val="16"/>
          <w:szCs w:val="16"/>
          <w:color w:val="auto"/>
        </w:rPr>
        <w:t>Tel: +507 210-8563</w:t>
      </w:r>
    </w:p>
    <w:p>
      <w:pPr>
        <w:spacing w:after="0" w:line="11"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E-mail address: </w:t>
      </w:r>
      <w:r>
        <w:rPr>
          <w:rFonts w:ascii="Arial" w:cs="Arial" w:eastAsia="Arial" w:hAnsi="Arial"/>
          <w:sz w:val="16"/>
          <w:szCs w:val="16"/>
          <w:u w:val="single" w:color="auto"/>
          <w:color w:val="auto"/>
        </w:rPr>
        <w:t>amendez@bladex.com</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15240</wp:posOffset>
            </wp:positionV>
            <wp:extent cx="7145655" cy="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00"/>
          </w:cols>
          <w:pgMar w:left="320" w:top="1440" w:right="37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4900" w:type="dxa"/>
            <w:vAlign w:val="bottom"/>
            <w:gridSpan w:val="16"/>
            <w:vMerge w:val="restart"/>
          </w:tcPr>
          <w:p>
            <w:pPr>
              <w:jc w:val="right"/>
              <w:ind w:right="540"/>
              <w:spacing w:after="0"/>
              <w:rPr>
                <w:sz w:val="20"/>
                <w:szCs w:val="20"/>
                <w:color w:val="auto"/>
              </w:rPr>
            </w:pPr>
            <w:r>
              <w:rPr>
                <w:rFonts w:ascii="Arial" w:cs="Arial" w:eastAsia="Arial" w:hAnsi="Arial"/>
                <w:sz w:val="16"/>
                <w:szCs w:val="16"/>
                <w:color w:val="auto"/>
              </w:rPr>
              <w:t>CONSOLIDATED STATEMENTS OF FINANCIAL POSITION</w:t>
            </w: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gridSpan w:val="2"/>
          </w:tcPr>
          <w:p>
            <w:pPr>
              <w:jc w:val="right"/>
              <w:spacing w:after="0"/>
              <w:rPr>
                <w:sz w:val="20"/>
                <w:szCs w:val="20"/>
                <w:color w:val="auto"/>
              </w:rPr>
            </w:pPr>
            <w:r>
              <w:rPr>
                <w:rFonts w:ascii="Arial" w:cs="Arial" w:eastAsia="Arial" w:hAnsi="Arial"/>
                <w:sz w:val="16"/>
                <w:szCs w:val="16"/>
                <w:color w:val="auto"/>
              </w:rPr>
              <w:t>EXHIBIT I</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4900" w:type="dxa"/>
            <w:vAlign w:val="bottom"/>
            <w:gridSpan w:val="16"/>
            <w:vMerge w:val="continue"/>
          </w:tcPr>
          <w:p>
            <w:pPr>
              <w:spacing w:after="0"/>
              <w:rPr>
                <w:sz w:val="16"/>
                <w:szCs w:val="16"/>
                <w:color w:val="auto"/>
              </w:rPr>
            </w:pPr>
          </w:p>
        </w:tc>
        <w:tc>
          <w:tcPr>
            <w:tcW w:w="8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30"/>
        </w:trPr>
        <w:tc>
          <w:tcPr>
            <w:tcW w:w="2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gridSpan w:val="4"/>
          </w:tcPr>
          <w:p>
            <w:pPr>
              <w:jc w:val="center"/>
              <w:ind w:right="40"/>
              <w:spacing w:after="0"/>
              <w:rPr>
                <w:sz w:val="20"/>
                <w:szCs w:val="20"/>
                <w:color w:val="auto"/>
              </w:rPr>
            </w:pPr>
            <w:r>
              <w:rPr>
                <w:rFonts w:ascii="Arial" w:cs="Arial" w:eastAsia="Arial" w:hAnsi="Arial"/>
                <w:sz w:val="11"/>
                <w:szCs w:val="11"/>
                <w:color w:val="auto"/>
                <w:w w:val="99"/>
              </w:rPr>
              <w:t>AT THE END OF,</w:t>
            </w: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gridSpan w:val="2"/>
            <w:vMerge w:val="restart"/>
          </w:tcPr>
          <w:p>
            <w:pPr>
              <w:jc w:val="right"/>
              <w:ind w:right="400"/>
              <w:spacing w:after="0"/>
              <w:rPr>
                <w:sz w:val="20"/>
                <w:szCs w:val="20"/>
                <w:color w:val="auto"/>
              </w:rPr>
            </w:pPr>
            <w:r>
              <w:rPr>
                <w:rFonts w:ascii="Arial" w:cs="Arial" w:eastAsia="Arial" w:hAnsi="Arial"/>
                <w:sz w:val="11"/>
                <w:szCs w:val="11"/>
                <w:color w:val="auto"/>
              </w:rPr>
              <w:t>(A) - (B)</w:t>
            </w: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gridSpan w:val="2"/>
            <w:vMerge w:val="restart"/>
          </w:tcPr>
          <w:p>
            <w:pPr>
              <w:jc w:val="right"/>
              <w:ind w:right="420"/>
              <w:spacing w:after="0"/>
              <w:rPr>
                <w:sz w:val="20"/>
                <w:szCs w:val="20"/>
                <w:color w:val="auto"/>
              </w:rPr>
            </w:pPr>
            <w:r>
              <w:rPr>
                <w:rFonts w:ascii="Arial" w:cs="Arial" w:eastAsia="Arial" w:hAnsi="Arial"/>
                <w:sz w:val="11"/>
                <w:szCs w:val="11"/>
                <w:color w:val="auto"/>
              </w:rPr>
              <w:t>(A) - (C)</w:t>
            </w:r>
          </w:p>
        </w:tc>
        <w:tc>
          <w:tcPr>
            <w:tcW w:w="7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00"/>
        </w:trPr>
        <w:tc>
          <w:tcPr>
            <w:tcW w:w="20" w:type="dxa"/>
            <w:vAlign w:val="bottom"/>
          </w:tcPr>
          <w:p>
            <w:pPr>
              <w:spacing w:after="0"/>
              <w:rPr>
                <w:sz w:val="8"/>
                <w:szCs w:val="8"/>
                <w:color w:val="auto"/>
              </w:rPr>
            </w:pPr>
          </w:p>
        </w:tc>
        <w:tc>
          <w:tcPr>
            <w:tcW w:w="3380" w:type="dxa"/>
            <w:vAlign w:val="bottom"/>
          </w:tcPr>
          <w:p>
            <w:pPr>
              <w:spacing w:after="0"/>
              <w:rPr>
                <w:sz w:val="8"/>
                <w:szCs w:val="8"/>
                <w:color w:val="auto"/>
              </w:rPr>
            </w:pPr>
          </w:p>
        </w:tc>
        <w:tc>
          <w:tcPr>
            <w:tcW w:w="900" w:type="dxa"/>
            <w:vAlign w:val="bottom"/>
          </w:tcPr>
          <w:p>
            <w:pPr>
              <w:spacing w:after="0"/>
              <w:rPr>
                <w:sz w:val="8"/>
                <w:szCs w:val="8"/>
                <w:color w:val="auto"/>
              </w:rPr>
            </w:pPr>
          </w:p>
        </w:tc>
        <w:tc>
          <w:tcPr>
            <w:tcW w:w="60" w:type="dxa"/>
            <w:vAlign w:val="bottom"/>
          </w:tcPr>
          <w:p>
            <w:pPr>
              <w:spacing w:after="0"/>
              <w:rPr>
                <w:sz w:val="8"/>
                <w:szCs w:val="8"/>
                <w:color w:val="auto"/>
              </w:rPr>
            </w:pPr>
          </w:p>
        </w:tc>
        <w:tc>
          <w:tcPr>
            <w:tcW w:w="840" w:type="dxa"/>
            <w:vAlign w:val="bottom"/>
            <w:gridSpan w:val="2"/>
          </w:tcPr>
          <w:p>
            <w:pPr>
              <w:jc w:val="right"/>
              <w:ind w:right="440"/>
              <w:spacing w:after="0" w:line="101" w:lineRule="exact"/>
              <w:rPr>
                <w:sz w:val="20"/>
                <w:szCs w:val="20"/>
                <w:color w:val="auto"/>
              </w:rPr>
            </w:pPr>
            <w:r>
              <w:rPr>
                <w:rFonts w:ascii="Arial" w:cs="Arial" w:eastAsia="Arial" w:hAnsi="Arial"/>
                <w:sz w:val="11"/>
                <w:szCs w:val="11"/>
                <w:color w:val="auto"/>
              </w:rPr>
              <w:t>(A)</w:t>
            </w:r>
          </w:p>
        </w:tc>
        <w:tc>
          <w:tcPr>
            <w:tcW w:w="100" w:type="dxa"/>
            <w:vAlign w:val="bottom"/>
          </w:tcPr>
          <w:p>
            <w:pPr>
              <w:spacing w:after="0"/>
              <w:rPr>
                <w:sz w:val="8"/>
                <w:szCs w:val="8"/>
                <w:color w:val="auto"/>
              </w:rPr>
            </w:pPr>
          </w:p>
        </w:tc>
        <w:tc>
          <w:tcPr>
            <w:tcW w:w="200" w:type="dxa"/>
            <w:vAlign w:val="bottom"/>
          </w:tcPr>
          <w:p>
            <w:pPr>
              <w:spacing w:after="0"/>
              <w:rPr>
                <w:sz w:val="8"/>
                <w:szCs w:val="8"/>
                <w:color w:val="auto"/>
              </w:rPr>
            </w:pPr>
          </w:p>
        </w:tc>
        <w:tc>
          <w:tcPr>
            <w:tcW w:w="720" w:type="dxa"/>
            <w:vAlign w:val="bottom"/>
            <w:gridSpan w:val="2"/>
          </w:tcPr>
          <w:p>
            <w:pPr>
              <w:jc w:val="center"/>
              <w:ind w:right="320"/>
              <w:spacing w:after="0" w:line="101" w:lineRule="exact"/>
              <w:rPr>
                <w:sz w:val="20"/>
                <w:szCs w:val="20"/>
                <w:color w:val="auto"/>
              </w:rPr>
            </w:pPr>
            <w:r>
              <w:rPr>
                <w:rFonts w:ascii="Arial" w:cs="Arial" w:eastAsia="Arial" w:hAnsi="Arial"/>
                <w:sz w:val="11"/>
                <w:szCs w:val="11"/>
                <w:color w:val="auto"/>
              </w:rPr>
              <w:t>(B)</w:t>
            </w:r>
          </w:p>
        </w:tc>
        <w:tc>
          <w:tcPr>
            <w:tcW w:w="8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ind w:left="240"/>
              <w:spacing w:after="0" w:line="101" w:lineRule="exact"/>
              <w:rPr>
                <w:sz w:val="20"/>
                <w:szCs w:val="20"/>
                <w:color w:val="auto"/>
              </w:rPr>
            </w:pPr>
            <w:r>
              <w:rPr>
                <w:rFonts w:ascii="Arial" w:cs="Arial" w:eastAsia="Arial" w:hAnsi="Arial"/>
                <w:sz w:val="11"/>
                <w:szCs w:val="11"/>
                <w:color w:val="auto"/>
              </w:rPr>
              <w:t>(C)</w:t>
            </w: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120" w:type="dxa"/>
            <w:vAlign w:val="bottom"/>
          </w:tcPr>
          <w:p>
            <w:pPr>
              <w:spacing w:after="0"/>
              <w:rPr>
                <w:sz w:val="8"/>
                <w:szCs w:val="8"/>
                <w:color w:val="auto"/>
              </w:rPr>
            </w:pPr>
          </w:p>
        </w:tc>
        <w:tc>
          <w:tcPr>
            <w:tcW w:w="880" w:type="dxa"/>
            <w:vAlign w:val="bottom"/>
            <w:gridSpan w:val="2"/>
            <w:vMerge w:val="continue"/>
          </w:tcPr>
          <w:p>
            <w:pPr>
              <w:spacing w:after="0"/>
              <w:rPr>
                <w:sz w:val="8"/>
                <w:szCs w:val="8"/>
                <w:color w:val="auto"/>
              </w:rPr>
            </w:pPr>
          </w:p>
        </w:tc>
        <w:tc>
          <w:tcPr>
            <w:tcW w:w="800" w:type="dxa"/>
            <w:vAlign w:val="bottom"/>
          </w:tcPr>
          <w:p>
            <w:pPr>
              <w:spacing w:after="0"/>
              <w:rPr>
                <w:sz w:val="8"/>
                <w:szCs w:val="8"/>
                <w:color w:val="auto"/>
              </w:rPr>
            </w:pPr>
          </w:p>
        </w:tc>
        <w:tc>
          <w:tcPr>
            <w:tcW w:w="180" w:type="dxa"/>
            <w:vAlign w:val="bottom"/>
          </w:tcPr>
          <w:p>
            <w:pPr>
              <w:spacing w:after="0"/>
              <w:rPr>
                <w:sz w:val="8"/>
                <w:szCs w:val="8"/>
                <w:color w:val="auto"/>
              </w:rPr>
            </w:pPr>
          </w:p>
        </w:tc>
        <w:tc>
          <w:tcPr>
            <w:tcW w:w="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00" w:type="dxa"/>
            <w:vAlign w:val="bottom"/>
            <w:gridSpan w:val="2"/>
            <w:vMerge w:val="continue"/>
          </w:tcPr>
          <w:p>
            <w:pPr>
              <w:spacing w:after="0"/>
              <w:rPr>
                <w:sz w:val="8"/>
                <w:szCs w:val="8"/>
                <w:color w:val="auto"/>
              </w:rPr>
            </w:pPr>
          </w:p>
        </w:tc>
        <w:tc>
          <w:tcPr>
            <w:tcW w:w="780" w:type="dxa"/>
            <w:vAlign w:val="bottom"/>
          </w:tcPr>
          <w:p>
            <w:pPr>
              <w:spacing w:after="0"/>
              <w:rPr>
                <w:sz w:val="8"/>
                <w:szCs w:val="8"/>
                <w:color w:val="auto"/>
              </w:rPr>
            </w:pPr>
          </w:p>
        </w:tc>
        <w:tc>
          <w:tcPr>
            <w:tcW w:w="1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33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720" w:type="dxa"/>
            <w:vAlign w:val="bottom"/>
            <w:tcBorders>
              <w:bottom w:val="single" w:sz="8" w:color="auto"/>
            </w:tcBorders>
          </w:tcPr>
          <w:p>
            <w:pPr>
              <w:jc w:val="right"/>
              <w:ind w:right="23"/>
              <w:spacing w:after="0"/>
              <w:rPr>
                <w:sz w:val="20"/>
                <w:szCs w:val="20"/>
                <w:color w:val="auto"/>
              </w:rPr>
            </w:pPr>
            <w:r>
              <w:rPr>
                <w:rFonts w:ascii="Arial" w:cs="Arial" w:eastAsia="Arial" w:hAnsi="Arial"/>
                <w:sz w:val="11"/>
                <w:szCs w:val="11"/>
                <w:color w:val="auto"/>
                <w:w w:val="88"/>
              </w:rPr>
              <w:t>June 30, 2021</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Borders>
              <w:bottom w:val="single" w:sz="8" w:color="auto"/>
            </w:tcBorders>
            <w:gridSpan w:val="2"/>
          </w:tcPr>
          <w:p>
            <w:pPr>
              <w:jc w:val="center"/>
              <w:spacing w:after="0"/>
              <w:rPr>
                <w:sz w:val="20"/>
                <w:szCs w:val="20"/>
                <w:color w:val="auto"/>
              </w:rPr>
            </w:pPr>
            <w:r>
              <w:rPr>
                <w:rFonts w:ascii="Arial" w:cs="Arial" w:eastAsia="Arial" w:hAnsi="Arial"/>
                <w:sz w:val="11"/>
                <w:szCs w:val="11"/>
                <w:color w:val="auto"/>
                <w:w w:val="94"/>
              </w:rPr>
              <w:t>March 31, 2021</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spacing w:after="0"/>
              <w:rPr>
                <w:sz w:val="20"/>
                <w:szCs w:val="20"/>
                <w:color w:val="auto"/>
              </w:rPr>
            </w:pPr>
            <w:r>
              <w:rPr>
                <w:rFonts w:ascii="Arial" w:cs="Arial" w:eastAsia="Arial" w:hAnsi="Arial"/>
                <w:sz w:val="11"/>
                <w:szCs w:val="11"/>
                <w:color w:val="auto"/>
                <w:w w:val="97"/>
              </w:rPr>
              <w:t>June 30, 2020</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60" w:type="dxa"/>
            <w:vAlign w:val="bottom"/>
            <w:tcBorders>
              <w:bottom w:val="single" w:sz="8" w:color="auto"/>
            </w:tcBorders>
          </w:tcPr>
          <w:p>
            <w:pPr>
              <w:jc w:val="right"/>
              <w:ind w:right="83"/>
              <w:spacing w:after="0"/>
              <w:rPr>
                <w:sz w:val="20"/>
                <w:szCs w:val="20"/>
                <w:color w:val="auto"/>
              </w:rPr>
            </w:pPr>
            <w:r>
              <w:rPr>
                <w:rFonts w:ascii="Arial" w:cs="Arial" w:eastAsia="Arial" w:hAnsi="Arial"/>
                <w:sz w:val="11"/>
                <w:szCs w:val="11"/>
                <w:color w:val="auto"/>
              </w:rPr>
              <w:t>CHANGE</w:t>
            </w:r>
          </w:p>
        </w:tc>
        <w:tc>
          <w:tcPr>
            <w:tcW w:w="220" w:type="dxa"/>
            <w:vAlign w:val="bottom"/>
          </w:tcPr>
          <w:p>
            <w:pPr>
              <w:spacing w:after="0"/>
              <w:rPr>
                <w:sz w:val="11"/>
                <w:szCs w:val="11"/>
                <w:color w:val="auto"/>
              </w:rPr>
            </w:pPr>
          </w:p>
        </w:tc>
        <w:tc>
          <w:tcPr>
            <w:tcW w:w="800" w:type="dxa"/>
            <w:vAlign w:val="bottom"/>
            <w:tcBorders>
              <w:bottom w:val="single" w:sz="8" w:color="auto"/>
            </w:tcBorders>
          </w:tcPr>
          <w:p>
            <w:pPr>
              <w:jc w:val="right"/>
              <w:ind w:right="303"/>
              <w:spacing w:after="0"/>
              <w:rPr>
                <w:sz w:val="20"/>
                <w:szCs w:val="20"/>
                <w:color w:val="auto"/>
              </w:rPr>
            </w:pPr>
            <w:r>
              <w:rPr>
                <w:rFonts w:ascii="Arial" w:cs="Arial" w:eastAsia="Arial" w:hAnsi="Arial"/>
                <w:sz w:val="11"/>
                <w:szCs w:val="11"/>
                <w:color w:val="auto"/>
              </w:rPr>
              <w:t>%</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80" w:type="dxa"/>
            <w:vAlign w:val="bottom"/>
            <w:tcBorders>
              <w:bottom w:val="single" w:sz="8" w:color="auto"/>
            </w:tcBorders>
          </w:tcPr>
          <w:p>
            <w:pPr>
              <w:jc w:val="right"/>
              <w:ind w:right="103"/>
              <w:spacing w:after="0"/>
              <w:rPr>
                <w:sz w:val="20"/>
                <w:szCs w:val="20"/>
                <w:color w:val="auto"/>
              </w:rPr>
            </w:pPr>
            <w:r>
              <w:rPr>
                <w:rFonts w:ascii="Arial" w:cs="Arial" w:eastAsia="Arial" w:hAnsi="Arial"/>
                <w:sz w:val="11"/>
                <w:szCs w:val="11"/>
                <w:color w:val="auto"/>
              </w:rPr>
              <w:t>CHANGE</w:t>
            </w:r>
          </w:p>
        </w:tc>
        <w:tc>
          <w:tcPr>
            <w:tcW w:w="220" w:type="dxa"/>
            <w:vAlign w:val="bottom"/>
          </w:tcPr>
          <w:p>
            <w:pPr>
              <w:spacing w:after="0"/>
              <w:rPr>
                <w:sz w:val="11"/>
                <w:szCs w:val="11"/>
                <w:color w:val="auto"/>
              </w:rPr>
            </w:pPr>
          </w:p>
        </w:tc>
        <w:tc>
          <w:tcPr>
            <w:tcW w:w="780" w:type="dxa"/>
            <w:vAlign w:val="bottom"/>
            <w:tcBorders>
              <w:bottom w:val="single" w:sz="8" w:color="auto"/>
            </w:tcBorders>
          </w:tcPr>
          <w:p>
            <w:pPr>
              <w:jc w:val="right"/>
              <w:ind w:right="282"/>
              <w:spacing w:after="0"/>
              <w:rPr>
                <w:sz w:val="20"/>
                <w:szCs w:val="20"/>
                <w:color w:val="auto"/>
              </w:rPr>
            </w:pPr>
            <w:r>
              <w:rPr>
                <w:rFonts w:ascii="Arial" w:cs="Arial" w:eastAsia="Arial" w:hAnsi="Arial"/>
                <w:sz w:val="11"/>
                <w:szCs w:val="11"/>
                <w:color w:val="auto"/>
              </w:rPr>
              <w:t>%</w:t>
            </w: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3"/>
          </w:tcPr>
          <w:p>
            <w:pPr>
              <w:jc w:val="right"/>
              <w:spacing w:after="0"/>
              <w:rPr>
                <w:sz w:val="20"/>
                <w:szCs w:val="20"/>
                <w:color w:val="auto"/>
              </w:rPr>
            </w:pPr>
            <w:r>
              <w:rPr>
                <w:rFonts w:ascii="Arial" w:cs="Arial" w:eastAsia="Arial" w:hAnsi="Arial"/>
                <w:sz w:val="11"/>
                <w:szCs w:val="11"/>
                <w:color w:val="auto"/>
                <w:w w:val="96"/>
              </w:rPr>
              <w:t>(In US$ thousand)</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b w:val="1"/>
                <w:bCs w:val="1"/>
                <w:color w:val="auto"/>
              </w:rPr>
              <w:t>Assets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Cash and due from banks</w:t>
            </w:r>
          </w:p>
        </w:tc>
        <w:tc>
          <w:tcPr>
            <w:tcW w:w="96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823,493</w:t>
            </w:r>
          </w:p>
        </w:tc>
        <w:tc>
          <w:tcPr>
            <w:tcW w:w="300" w:type="dxa"/>
            <w:vAlign w:val="bottom"/>
            <w:gridSpan w:val="2"/>
            <w:shd w:val="clear" w:color="auto" w:fill="CCEEFF"/>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819,514</w:t>
            </w:r>
          </w:p>
        </w:tc>
        <w:tc>
          <w:tcPr>
            <w:tcW w:w="16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2,021,365</w:t>
            </w:r>
          </w:p>
        </w:tc>
        <w:tc>
          <w:tcPr>
            <w:tcW w:w="20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3,979</w:t>
            </w:r>
          </w:p>
        </w:tc>
        <w:tc>
          <w:tcPr>
            <w:tcW w:w="9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w:t>
            </w:r>
          </w:p>
        </w:tc>
        <w:tc>
          <w:tcPr>
            <w:tcW w:w="1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(1,197,872)</w:t>
            </w:r>
          </w:p>
        </w:tc>
        <w:tc>
          <w:tcPr>
            <w:tcW w:w="92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(59)%</w:t>
            </w: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Securities and other financial assets, net</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527,170</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391,401</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100,223</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135,769</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35</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426,947</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426</w:t>
            </w: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Loans, net</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5,202,871</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5,042,467</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4,464,353</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160,404</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738,518</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w:t>
            </w: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Customers' liabilities under acceptances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129,402</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78,164</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3,444</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51,238</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66</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125,958</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3,657</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Derivative financial instruments - assets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14,270</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16,340</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8,615</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(2,070)</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(13)</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5,655</w:t>
            </w:r>
          </w:p>
        </w:tc>
        <w:tc>
          <w:tcPr>
            <w:tcW w:w="9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66</w:t>
            </w: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Equipment and leasehold improvements, net</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14,841</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15,361</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17,109</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(520)</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(3)</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(2,268)</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Intangibles, net</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1,555</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1,712</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1,050</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(157)</w:t>
            </w:r>
          </w:p>
        </w:tc>
        <w:tc>
          <w:tcPr>
            <w:tcW w:w="98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(9)</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505</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48</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Investment properties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3,075</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3,145</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3,354</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(70)</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(279)</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Other assets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6,555</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6,742</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7,712</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(187)</w:t>
            </w:r>
          </w:p>
        </w:tc>
        <w:tc>
          <w:tcPr>
            <w:tcW w:w="98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(3)</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(1,157)</w:t>
            </w:r>
          </w:p>
        </w:tc>
        <w:tc>
          <w:tcPr>
            <w:tcW w:w="9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(15)</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Pr>
          <w:p>
            <w:pPr>
              <w:spacing w:after="0"/>
              <w:rPr>
                <w:sz w:val="9"/>
                <w:szCs w:val="9"/>
                <w:color w:val="auto"/>
              </w:rPr>
            </w:pPr>
          </w:p>
        </w:tc>
        <w:tc>
          <w:tcPr>
            <w:tcW w:w="900" w:type="dxa"/>
            <w:vAlign w:val="bottom"/>
          </w:tcPr>
          <w:p>
            <w:pPr>
              <w:spacing w:after="0"/>
              <w:rPr>
                <w:sz w:val="9"/>
                <w:szCs w:val="9"/>
                <w:color w:val="auto"/>
              </w:rPr>
            </w:pPr>
          </w:p>
        </w:tc>
        <w:tc>
          <w:tcPr>
            <w:tcW w:w="6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b w:val="1"/>
                <w:bCs w:val="1"/>
                <w:color w:val="auto"/>
              </w:rPr>
              <w:t>Total assets</w:t>
            </w:r>
          </w:p>
        </w:tc>
        <w:tc>
          <w:tcPr>
            <w:tcW w:w="96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6,723,232</w:t>
            </w:r>
          </w:p>
        </w:tc>
        <w:tc>
          <w:tcPr>
            <w:tcW w:w="300" w:type="dxa"/>
            <w:vAlign w:val="bottom"/>
            <w:gridSpan w:val="2"/>
            <w:shd w:val="clear" w:color="auto" w:fill="CCEEFF"/>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6,374,846</w:t>
            </w:r>
          </w:p>
        </w:tc>
        <w:tc>
          <w:tcPr>
            <w:tcW w:w="16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6,627,225</w:t>
            </w:r>
          </w:p>
        </w:tc>
        <w:tc>
          <w:tcPr>
            <w:tcW w:w="20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348,386</w:t>
            </w:r>
          </w:p>
        </w:tc>
        <w:tc>
          <w:tcPr>
            <w:tcW w:w="9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w:t>
            </w:r>
          </w:p>
        </w:tc>
        <w:tc>
          <w:tcPr>
            <w:tcW w:w="1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96,007</w:t>
            </w:r>
          </w:p>
        </w:tc>
        <w:tc>
          <w:tcPr>
            <w:tcW w:w="9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9"/>
        </w:trPr>
        <w:tc>
          <w:tcPr>
            <w:tcW w:w="20" w:type="dxa"/>
            <w:vAlign w:val="bottom"/>
            <w:vMerge w:val="restart"/>
          </w:tcPr>
          <w:p>
            <w:pPr>
              <w:spacing w:after="0"/>
              <w:rPr>
                <w:sz w:val="8"/>
                <w:szCs w:val="8"/>
                <w:color w:val="auto"/>
              </w:rPr>
            </w:pPr>
          </w:p>
        </w:tc>
        <w:tc>
          <w:tcPr>
            <w:tcW w:w="3380" w:type="dxa"/>
            <w:vAlign w:val="bottom"/>
          </w:tcPr>
          <w:p>
            <w:pPr>
              <w:spacing w:after="0"/>
              <w:rPr>
                <w:sz w:val="8"/>
                <w:szCs w:val="8"/>
                <w:color w:val="auto"/>
              </w:rPr>
            </w:pPr>
          </w:p>
        </w:tc>
        <w:tc>
          <w:tcPr>
            <w:tcW w:w="900" w:type="dxa"/>
            <w:vAlign w:val="bottom"/>
          </w:tcPr>
          <w:p>
            <w:pPr>
              <w:spacing w:after="0"/>
              <w:rPr>
                <w:sz w:val="8"/>
                <w:szCs w:val="8"/>
                <w:color w:val="auto"/>
              </w:rPr>
            </w:pPr>
          </w:p>
        </w:tc>
        <w:tc>
          <w:tcPr>
            <w:tcW w:w="60" w:type="dxa"/>
            <w:vAlign w:val="bottom"/>
          </w:tcPr>
          <w:p>
            <w:pPr>
              <w:spacing w:after="0"/>
              <w:rPr>
                <w:sz w:val="8"/>
                <w:szCs w:val="8"/>
                <w:color w:val="auto"/>
              </w:rPr>
            </w:pPr>
          </w:p>
        </w:tc>
        <w:tc>
          <w:tcPr>
            <w:tcW w:w="720" w:type="dxa"/>
            <w:vAlign w:val="bottom"/>
          </w:tcPr>
          <w:p>
            <w:pPr>
              <w:spacing w:after="0"/>
              <w:rPr>
                <w:sz w:val="8"/>
                <w:szCs w:val="8"/>
                <w:color w:val="auto"/>
              </w:rPr>
            </w:pPr>
          </w:p>
        </w:tc>
        <w:tc>
          <w:tcPr>
            <w:tcW w:w="120" w:type="dxa"/>
            <w:vAlign w:val="bottom"/>
          </w:tcPr>
          <w:p>
            <w:pPr>
              <w:spacing w:after="0"/>
              <w:rPr>
                <w:sz w:val="8"/>
                <w:szCs w:val="8"/>
                <w:color w:val="auto"/>
              </w:rPr>
            </w:pPr>
          </w:p>
        </w:tc>
        <w:tc>
          <w:tcPr>
            <w:tcW w:w="100" w:type="dxa"/>
            <w:vAlign w:val="bottom"/>
          </w:tcPr>
          <w:p>
            <w:pPr>
              <w:spacing w:after="0"/>
              <w:rPr>
                <w:sz w:val="8"/>
                <w:szCs w:val="8"/>
                <w:color w:val="auto"/>
              </w:rPr>
            </w:pPr>
          </w:p>
        </w:tc>
        <w:tc>
          <w:tcPr>
            <w:tcW w:w="200" w:type="dxa"/>
            <w:vAlign w:val="bottom"/>
          </w:tcPr>
          <w:p>
            <w:pPr>
              <w:spacing w:after="0"/>
              <w:rPr>
                <w:sz w:val="8"/>
                <w:szCs w:val="8"/>
                <w:color w:val="auto"/>
              </w:rPr>
            </w:pPr>
          </w:p>
        </w:tc>
        <w:tc>
          <w:tcPr>
            <w:tcW w:w="580" w:type="dxa"/>
            <w:vAlign w:val="bottom"/>
          </w:tcPr>
          <w:p>
            <w:pPr>
              <w:spacing w:after="0"/>
              <w:rPr>
                <w:sz w:val="8"/>
                <w:szCs w:val="8"/>
                <w:color w:val="auto"/>
              </w:rPr>
            </w:pP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180" w:type="dxa"/>
            <w:vAlign w:val="bottom"/>
          </w:tcPr>
          <w:p>
            <w:pPr>
              <w:spacing w:after="0"/>
              <w:rPr>
                <w:sz w:val="8"/>
                <w:szCs w:val="8"/>
                <w:color w:val="auto"/>
              </w:rPr>
            </w:pPr>
          </w:p>
        </w:tc>
        <w:tc>
          <w:tcPr>
            <w:tcW w:w="60" w:type="dxa"/>
            <w:vAlign w:val="bottom"/>
          </w:tcPr>
          <w:p>
            <w:pPr>
              <w:spacing w:after="0"/>
              <w:rPr>
                <w:sz w:val="8"/>
                <w:szCs w:val="8"/>
                <w:color w:val="auto"/>
              </w:rPr>
            </w:pPr>
          </w:p>
        </w:tc>
        <w:tc>
          <w:tcPr>
            <w:tcW w:w="10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b w:val="1"/>
                <w:bCs w:val="1"/>
                <w:color w:val="auto"/>
              </w:rPr>
              <w:t>Liabilities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Demand deposits</w:t>
            </w:r>
          </w:p>
        </w:tc>
        <w:tc>
          <w:tcPr>
            <w:tcW w:w="96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317,014</w:t>
            </w:r>
          </w:p>
        </w:tc>
        <w:tc>
          <w:tcPr>
            <w:tcW w:w="300" w:type="dxa"/>
            <w:vAlign w:val="bottom"/>
            <w:gridSpan w:val="2"/>
            <w:shd w:val="clear" w:color="auto" w:fill="CCEEFF"/>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355,301</w:t>
            </w:r>
          </w:p>
        </w:tc>
        <w:tc>
          <w:tcPr>
            <w:tcW w:w="16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281,685</w:t>
            </w:r>
          </w:p>
        </w:tc>
        <w:tc>
          <w:tcPr>
            <w:tcW w:w="20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(38,287)</w:t>
            </w:r>
          </w:p>
        </w:tc>
        <w:tc>
          <w:tcPr>
            <w:tcW w:w="9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(11)%</w:t>
            </w:r>
          </w:p>
        </w:tc>
        <w:tc>
          <w:tcPr>
            <w:tcW w:w="1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35,329</w:t>
            </w:r>
          </w:p>
        </w:tc>
        <w:tc>
          <w:tcPr>
            <w:tcW w:w="9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Time deposits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3,029,175</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2,830,446</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2,604,530</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198,729</w:t>
            </w:r>
          </w:p>
        </w:tc>
        <w:tc>
          <w:tcPr>
            <w:tcW w:w="9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424,645</w:t>
            </w:r>
          </w:p>
        </w:tc>
        <w:tc>
          <w:tcPr>
            <w:tcW w:w="9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16</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380" w:type="dxa"/>
            <w:vAlign w:val="bottom"/>
            <w:tcBorders>
              <w:top w:val="single" w:sz="8" w:color="CCEEFF"/>
            </w:tcBorders>
            <w:shd w:val="clear" w:color="auto" w:fill="CCEEFF"/>
          </w:tcPr>
          <w:p>
            <w:pPr>
              <w:spacing w:after="0"/>
              <w:rPr>
                <w:sz w:val="9"/>
                <w:szCs w:val="9"/>
                <w:color w:val="auto"/>
              </w:rPr>
            </w:pP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3,346,189</w:t>
            </w: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3,185,747</w:t>
            </w: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ind w:left="260"/>
              <w:spacing w:after="0" w:line="114" w:lineRule="exact"/>
              <w:rPr>
                <w:sz w:val="20"/>
                <w:szCs w:val="20"/>
                <w:color w:val="auto"/>
              </w:rPr>
            </w:pPr>
            <w:r>
              <w:rPr>
                <w:rFonts w:ascii="Arial" w:cs="Arial" w:eastAsia="Arial" w:hAnsi="Arial"/>
                <w:sz w:val="11"/>
                <w:szCs w:val="11"/>
                <w:color w:val="auto"/>
                <w:w w:val="85"/>
              </w:rPr>
              <w:t>2,886,215</w:t>
            </w: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160,442</w:t>
            </w:r>
          </w:p>
        </w:tc>
        <w:tc>
          <w:tcPr>
            <w:tcW w:w="22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CCEEFF"/>
            </w:tcBorders>
            <w:gridSpan w:val="2"/>
            <w:shd w:val="clear" w:color="auto" w:fill="CCEEFF"/>
          </w:tcPr>
          <w:p>
            <w:pPr>
              <w:jc w:val="right"/>
              <w:ind w:right="180"/>
              <w:spacing w:after="0" w:line="114" w:lineRule="exact"/>
              <w:rPr>
                <w:sz w:val="20"/>
                <w:szCs w:val="20"/>
                <w:color w:val="auto"/>
              </w:rPr>
            </w:pPr>
            <w:r>
              <w:rPr>
                <w:rFonts w:ascii="Arial" w:cs="Arial" w:eastAsia="Arial" w:hAnsi="Arial"/>
                <w:sz w:val="11"/>
                <w:szCs w:val="11"/>
                <w:color w:val="auto"/>
              </w:rPr>
              <w:t>5</w:t>
            </w: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459,974</w:t>
            </w:r>
          </w:p>
        </w:tc>
        <w:tc>
          <w:tcPr>
            <w:tcW w:w="220" w:type="dxa"/>
            <w:vAlign w:val="bottom"/>
            <w:tcBorders>
              <w:top w:val="single" w:sz="8" w:color="CCEEFF"/>
            </w:tcBorders>
            <w:shd w:val="clear" w:color="auto" w:fill="CCEEFF"/>
          </w:tcPr>
          <w:p>
            <w:pPr>
              <w:spacing w:after="0"/>
              <w:rPr>
                <w:sz w:val="9"/>
                <w:szCs w:val="9"/>
                <w:color w:val="auto"/>
              </w:rPr>
            </w:pPr>
          </w:p>
        </w:tc>
        <w:tc>
          <w:tcPr>
            <w:tcW w:w="920" w:type="dxa"/>
            <w:vAlign w:val="bottom"/>
            <w:tcBorders>
              <w:top w:val="single" w:sz="8" w:color="CCEEFF"/>
            </w:tcBorders>
            <w:gridSpan w:val="2"/>
            <w:shd w:val="clear" w:color="auto" w:fill="CCEEFF"/>
          </w:tcPr>
          <w:p>
            <w:pPr>
              <w:jc w:val="right"/>
              <w:ind w:right="140"/>
              <w:spacing w:after="0" w:line="114" w:lineRule="exact"/>
              <w:rPr>
                <w:sz w:val="20"/>
                <w:szCs w:val="20"/>
                <w:color w:val="auto"/>
              </w:rPr>
            </w:pPr>
            <w:r>
              <w:rPr>
                <w:rFonts w:ascii="Arial" w:cs="Arial" w:eastAsia="Arial" w:hAnsi="Arial"/>
                <w:sz w:val="11"/>
                <w:szCs w:val="11"/>
                <w:color w:val="auto"/>
              </w:rPr>
              <w:t>16</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Interest payable</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3,839</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2,853</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3,119</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986</w:t>
            </w:r>
          </w:p>
        </w:tc>
        <w:tc>
          <w:tcPr>
            <w:tcW w:w="9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35</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720</w:t>
            </w:r>
          </w:p>
        </w:tc>
        <w:tc>
          <w:tcPr>
            <w:tcW w:w="9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23</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380" w:type="dxa"/>
            <w:vAlign w:val="bottom"/>
            <w:tcBorders>
              <w:top w:val="single" w:sz="8" w:color="CCEEFF"/>
            </w:tcBorders>
            <w:shd w:val="clear" w:color="auto" w:fill="CCEEFF"/>
          </w:tcPr>
          <w:p>
            <w:pPr>
              <w:spacing w:after="0" w:line="114" w:lineRule="exact"/>
              <w:rPr>
                <w:sz w:val="20"/>
                <w:szCs w:val="20"/>
                <w:color w:val="auto"/>
              </w:rPr>
            </w:pPr>
            <w:r>
              <w:rPr>
                <w:rFonts w:ascii="Arial" w:cs="Arial" w:eastAsia="Arial" w:hAnsi="Arial"/>
                <w:sz w:val="11"/>
                <w:szCs w:val="11"/>
                <w:color w:val="auto"/>
              </w:rPr>
              <w:t>Total deposits</w:t>
            </w: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bottom w:val="single" w:sz="8" w:color="auto"/>
            </w:tcBorders>
            <w:shd w:val="clear" w:color="auto" w:fill="CCEEFF"/>
          </w:tcPr>
          <w:p>
            <w:pPr>
              <w:spacing w:after="0"/>
              <w:rPr>
                <w:sz w:val="9"/>
                <w:szCs w:val="9"/>
                <w:color w:val="auto"/>
              </w:rPr>
            </w:pPr>
          </w:p>
        </w:tc>
        <w:tc>
          <w:tcPr>
            <w:tcW w:w="720" w:type="dxa"/>
            <w:vAlign w:val="bottom"/>
            <w:tcBorders>
              <w:top w:val="single" w:sz="8" w:color="auto"/>
              <w:bottom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3,350,028</w:t>
            </w: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bottom w:val="single" w:sz="8" w:color="auto"/>
            </w:tcBorders>
            <w:shd w:val="clear" w:color="auto" w:fill="CCEEFF"/>
          </w:tcPr>
          <w:p>
            <w:pPr>
              <w:spacing w:after="0"/>
              <w:rPr>
                <w:sz w:val="9"/>
                <w:szCs w:val="9"/>
                <w:color w:val="auto"/>
              </w:rPr>
            </w:pPr>
          </w:p>
        </w:tc>
        <w:tc>
          <w:tcPr>
            <w:tcW w:w="580" w:type="dxa"/>
            <w:vAlign w:val="bottom"/>
            <w:tcBorders>
              <w:top w:val="single" w:sz="8" w:color="auto"/>
              <w:bottom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3,188,600</w:t>
            </w: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bottom w:val="single" w:sz="8" w:color="auto"/>
            </w:tcBorders>
            <w:shd w:val="clear" w:color="auto" w:fill="CCEEFF"/>
          </w:tcPr>
          <w:p>
            <w:pPr>
              <w:spacing w:after="0"/>
              <w:rPr>
                <w:sz w:val="9"/>
                <w:szCs w:val="9"/>
                <w:color w:val="auto"/>
              </w:rPr>
            </w:pPr>
          </w:p>
        </w:tc>
        <w:tc>
          <w:tcPr>
            <w:tcW w:w="700" w:type="dxa"/>
            <w:vAlign w:val="bottom"/>
            <w:tcBorders>
              <w:top w:val="single" w:sz="8" w:color="auto"/>
              <w:bottom w:val="single" w:sz="8" w:color="auto"/>
            </w:tcBorders>
            <w:shd w:val="clear" w:color="auto" w:fill="CCEEFF"/>
          </w:tcPr>
          <w:p>
            <w:pPr>
              <w:ind w:left="260"/>
              <w:spacing w:after="0" w:line="114" w:lineRule="exact"/>
              <w:rPr>
                <w:sz w:val="20"/>
                <w:szCs w:val="20"/>
                <w:color w:val="auto"/>
              </w:rPr>
            </w:pPr>
            <w:r>
              <w:rPr>
                <w:rFonts w:ascii="Arial" w:cs="Arial" w:eastAsia="Arial" w:hAnsi="Arial"/>
                <w:sz w:val="11"/>
                <w:szCs w:val="11"/>
                <w:color w:val="auto"/>
                <w:w w:val="85"/>
              </w:rPr>
              <w:t>2,889,334</w:t>
            </w: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bottom w:val="single" w:sz="8" w:color="auto"/>
            </w:tcBorders>
            <w:shd w:val="clear" w:color="auto" w:fill="CCEEFF"/>
          </w:tcPr>
          <w:p>
            <w:pPr>
              <w:spacing w:after="0"/>
              <w:rPr>
                <w:sz w:val="9"/>
                <w:szCs w:val="9"/>
                <w:color w:val="auto"/>
              </w:rPr>
            </w:pPr>
          </w:p>
        </w:tc>
        <w:tc>
          <w:tcPr>
            <w:tcW w:w="660" w:type="dxa"/>
            <w:vAlign w:val="bottom"/>
            <w:tcBorders>
              <w:top w:val="single" w:sz="8" w:color="auto"/>
              <w:bottom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161,428</w:t>
            </w:r>
          </w:p>
        </w:tc>
        <w:tc>
          <w:tcPr>
            <w:tcW w:w="22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CCEEFF"/>
            </w:tcBorders>
            <w:gridSpan w:val="2"/>
            <w:shd w:val="clear" w:color="auto" w:fill="CCEEFF"/>
          </w:tcPr>
          <w:p>
            <w:pPr>
              <w:jc w:val="right"/>
              <w:ind w:right="180"/>
              <w:spacing w:after="0" w:line="114" w:lineRule="exact"/>
              <w:rPr>
                <w:sz w:val="20"/>
                <w:szCs w:val="20"/>
                <w:color w:val="auto"/>
              </w:rPr>
            </w:pPr>
            <w:r>
              <w:rPr>
                <w:rFonts w:ascii="Arial" w:cs="Arial" w:eastAsia="Arial" w:hAnsi="Arial"/>
                <w:sz w:val="11"/>
                <w:szCs w:val="11"/>
                <w:color w:val="auto"/>
              </w:rPr>
              <w:t>5</w:t>
            </w: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bottom w:val="single" w:sz="8" w:color="auto"/>
            </w:tcBorders>
            <w:shd w:val="clear" w:color="auto" w:fill="CCEEFF"/>
          </w:tcPr>
          <w:p>
            <w:pPr>
              <w:spacing w:after="0"/>
              <w:rPr>
                <w:sz w:val="9"/>
                <w:szCs w:val="9"/>
                <w:color w:val="auto"/>
              </w:rPr>
            </w:pPr>
          </w:p>
        </w:tc>
        <w:tc>
          <w:tcPr>
            <w:tcW w:w="680" w:type="dxa"/>
            <w:vAlign w:val="bottom"/>
            <w:tcBorders>
              <w:top w:val="single" w:sz="8" w:color="auto"/>
              <w:bottom w:val="single" w:sz="8" w:color="auto"/>
            </w:tcBorders>
            <w:shd w:val="clear" w:color="auto" w:fill="CCEEFF"/>
          </w:tcPr>
          <w:p>
            <w:pPr>
              <w:jc w:val="right"/>
              <w:spacing w:after="0" w:line="114" w:lineRule="exact"/>
              <w:rPr>
                <w:sz w:val="20"/>
                <w:szCs w:val="20"/>
                <w:color w:val="auto"/>
              </w:rPr>
            </w:pPr>
            <w:r>
              <w:rPr>
                <w:rFonts w:ascii="Arial" w:cs="Arial" w:eastAsia="Arial" w:hAnsi="Arial"/>
                <w:sz w:val="11"/>
                <w:szCs w:val="11"/>
                <w:color w:val="auto"/>
              </w:rPr>
              <w:t>460,694</w:t>
            </w:r>
          </w:p>
        </w:tc>
        <w:tc>
          <w:tcPr>
            <w:tcW w:w="220" w:type="dxa"/>
            <w:vAlign w:val="bottom"/>
            <w:tcBorders>
              <w:top w:val="single" w:sz="8" w:color="CCEEFF"/>
            </w:tcBorders>
            <w:shd w:val="clear" w:color="auto" w:fill="CCEEFF"/>
          </w:tcPr>
          <w:p>
            <w:pPr>
              <w:spacing w:after="0"/>
              <w:rPr>
                <w:sz w:val="9"/>
                <w:szCs w:val="9"/>
                <w:color w:val="auto"/>
              </w:rPr>
            </w:pPr>
          </w:p>
        </w:tc>
        <w:tc>
          <w:tcPr>
            <w:tcW w:w="920" w:type="dxa"/>
            <w:vAlign w:val="bottom"/>
            <w:tcBorders>
              <w:top w:val="single" w:sz="8" w:color="CCEEFF"/>
            </w:tcBorders>
            <w:gridSpan w:val="2"/>
            <w:shd w:val="clear" w:color="auto" w:fill="CCEEFF"/>
          </w:tcPr>
          <w:p>
            <w:pPr>
              <w:jc w:val="right"/>
              <w:ind w:right="140"/>
              <w:spacing w:after="0" w:line="114" w:lineRule="exact"/>
              <w:rPr>
                <w:sz w:val="20"/>
                <w:szCs w:val="20"/>
                <w:color w:val="auto"/>
              </w:rPr>
            </w:pPr>
            <w:r>
              <w:rPr>
                <w:rFonts w:ascii="Arial" w:cs="Arial" w:eastAsia="Arial" w:hAnsi="Arial"/>
                <w:sz w:val="11"/>
                <w:szCs w:val="11"/>
                <w:color w:val="auto"/>
              </w:rPr>
              <w:t>16</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Pr>
          <w:p>
            <w:pPr>
              <w:spacing w:after="0"/>
              <w:rPr>
                <w:sz w:val="9"/>
                <w:szCs w:val="9"/>
                <w:color w:val="auto"/>
              </w:rPr>
            </w:pPr>
          </w:p>
        </w:tc>
        <w:tc>
          <w:tcPr>
            <w:tcW w:w="900" w:type="dxa"/>
            <w:vAlign w:val="bottom"/>
          </w:tcPr>
          <w:p>
            <w:pPr>
              <w:spacing w:after="0"/>
              <w:rPr>
                <w:sz w:val="9"/>
                <w:szCs w:val="9"/>
                <w:color w:val="auto"/>
              </w:rPr>
            </w:pPr>
          </w:p>
        </w:tc>
        <w:tc>
          <w:tcPr>
            <w:tcW w:w="60" w:type="dxa"/>
            <w:vAlign w:val="bottom"/>
          </w:tcPr>
          <w:p>
            <w:pPr>
              <w:spacing w:after="0"/>
              <w:rPr>
                <w:sz w:val="9"/>
                <w:szCs w:val="9"/>
                <w:color w:val="auto"/>
              </w:rPr>
            </w:pPr>
          </w:p>
        </w:tc>
        <w:tc>
          <w:tcPr>
            <w:tcW w:w="7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6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Securities sold under repurchase agreements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112,488</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156,690</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10,403</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(44,202)</w:t>
            </w:r>
          </w:p>
        </w:tc>
        <w:tc>
          <w:tcPr>
            <w:tcW w:w="98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(28)</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102,085</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981</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Borrowings and debt, net</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2,060,009</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1,869,304</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2,627,216</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190,705</w:t>
            </w:r>
          </w:p>
        </w:tc>
        <w:tc>
          <w:tcPr>
            <w:tcW w:w="9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(567,207)</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(22)</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payable</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7,730</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9,248</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6,954</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(1,518)</w:t>
            </w:r>
          </w:p>
        </w:tc>
        <w:tc>
          <w:tcPr>
            <w:tcW w:w="98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(16)</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776</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w:t>
            </w: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Acceptance outstanding</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129,402</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78,164</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3,444</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51,238</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66</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125,958</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3,657</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Derivative financial instruments - liabilities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14,930</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19,449</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52,193</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(4,519)</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(23)</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(37,263)</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(71)</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w w:val="95"/>
              </w:rPr>
              <w:t>Allowance for loan commitments and financial guarantee contract losses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3,790</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2,936</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2,139</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854</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29</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1,651</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77</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Other liabilities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14,153</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13,780</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13,683</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373</w:t>
            </w:r>
          </w:p>
        </w:tc>
        <w:tc>
          <w:tcPr>
            <w:tcW w:w="9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470</w:t>
            </w:r>
          </w:p>
        </w:tc>
        <w:tc>
          <w:tcPr>
            <w:tcW w:w="9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Borders>
              <w:top w:val="single" w:sz="8" w:color="CCEEFF"/>
            </w:tcBorders>
            <w:shd w:val="clear" w:color="auto" w:fill="CCEEFF"/>
          </w:tcPr>
          <w:p>
            <w:pPr>
              <w:spacing w:after="0"/>
              <w:rPr>
                <w:sz w:val="9"/>
                <w:szCs w:val="9"/>
                <w:color w:val="auto"/>
              </w:rPr>
            </w:pP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CCEEFF"/>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b w:val="1"/>
                <w:bCs w:val="1"/>
                <w:color w:val="auto"/>
              </w:rPr>
              <w:t>Total liabilities</w:t>
            </w:r>
          </w:p>
        </w:tc>
        <w:tc>
          <w:tcPr>
            <w:tcW w:w="9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5,692,530</w:t>
            </w:r>
          </w:p>
        </w:tc>
        <w:tc>
          <w:tcPr>
            <w:tcW w:w="300" w:type="dxa"/>
            <w:vAlign w:val="bottom"/>
            <w:gridSpan w:val="2"/>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5,338,171</w:t>
            </w:r>
          </w:p>
        </w:tc>
        <w:tc>
          <w:tcPr>
            <w:tcW w:w="16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5,605,366</w:t>
            </w:r>
          </w:p>
        </w:tc>
        <w:tc>
          <w:tcPr>
            <w:tcW w:w="20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354,359</w:t>
            </w:r>
          </w:p>
        </w:tc>
        <w:tc>
          <w:tcPr>
            <w:tcW w:w="9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w:t>
            </w:r>
          </w:p>
        </w:tc>
        <w:tc>
          <w:tcPr>
            <w:tcW w:w="1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87,164</w:t>
            </w:r>
          </w:p>
        </w:tc>
        <w:tc>
          <w:tcPr>
            <w:tcW w:w="9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2%</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Borders>
              <w:top w:val="single" w:sz="8" w:color="CCEEFF"/>
            </w:tcBorders>
            <w:shd w:val="clear" w:color="auto" w:fill="CCEEFF"/>
          </w:tcPr>
          <w:p>
            <w:pPr>
              <w:spacing w:after="0"/>
              <w:rPr>
                <w:sz w:val="9"/>
                <w:szCs w:val="9"/>
                <w:color w:val="auto"/>
              </w:rPr>
            </w:pP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CCEEFF"/>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b w:val="1"/>
                <w:bCs w:val="1"/>
                <w:color w:val="auto"/>
              </w:rPr>
              <w:t>Equity</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338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Common stock</w:t>
            </w:r>
          </w:p>
        </w:tc>
        <w:tc>
          <w:tcPr>
            <w:tcW w:w="9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279,980</w:t>
            </w:r>
          </w:p>
        </w:tc>
        <w:tc>
          <w:tcPr>
            <w:tcW w:w="300" w:type="dxa"/>
            <w:vAlign w:val="bottom"/>
            <w:gridSpan w:val="2"/>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279,980</w:t>
            </w:r>
          </w:p>
        </w:tc>
        <w:tc>
          <w:tcPr>
            <w:tcW w:w="16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279,980</w:t>
            </w:r>
          </w:p>
        </w:tc>
        <w:tc>
          <w:tcPr>
            <w:tcW w:w="20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w:t>
            </w:r>
          </w:p>
        </w:tc>
        <w:tc>
          <w:tcPr>
            <w:tcW w:w="1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Treasury stock</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(62,264)</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(57,452)</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(57,866)</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(4,812)</w:t>
            </w:r>
          </w:p>
        </w:tc>
        <w:tc>
          <w:tcPr>
            <w:tcW w:w="98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(8)</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(4,398)</w:t>
            </w:r>
          </w:p>
        </w:tc>
        <w:tc>
          <w:tcPr>
            <w:tcW w:w="9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w w:val="97"/>
              </w:rPr>
              <w:t>Additional paid-in capital in excess of value assigned of common stock</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119,366</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120,305</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119,447</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(939)</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(81)</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Capital reserves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95,210</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Regulatory reserves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136,019</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136,019</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136,019</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0</w:t>
            </w:r>
          </w:p>
        </w:tc>
        <w:tc>
          <w:tcPr>
            <w:tcW w:w="9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Retained earnings</w:t>
            </w:r>
          </w:p>
        </w:tc>
        <w:tc>
          <w:tcPr>
            <w:tcW w:w="9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471,121</w:t>
            </w:r>
          </w:p>
        </w:tc>
        <w:tc>
          <w:tcPr>
            <w:tcW w:w="1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466,978</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452,739</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4,143</w:t>
            </w:r>
          </w:p>
        </w:tc>
        <w:tc>
          <w:tcPr>
            <w:tcW w:w="9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w:t>
            </w: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18,382</w:t>
            </w:r>
          </w:p>
        </w:tc>
        <w:tc>
          <w:tcPr>
            <w:tcW w:w="9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color w:val="auto"/>
              </w:rPr>
              <w:t>Other comprehensive loss</w:t>
            </w:r>
          </w:p>
        </w:tc>
        <w:tc>
          <w:tcPr>
            <w:tcW w:w="9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(8,730)</w:t>
            </w: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(4,365)</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(3,670)</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(4,365)</w:t>
            </w:r>
          </w:p>
        </w:tc>
        <w:tc>
          <w:tcPr>
            <w:tcW w:w="98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(100)</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(5,060)</w:t>
            </w:r>
          </w:p>
        </w:tc>
        <w:tc>
          <w:tcPr>
            <w:tcW w:w="9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(138)</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Borders>
              <w:top w:val="single" w:sz="8" w:color="CCEEFF"/>
            </w:tcBorders>
            <w:shd w:val="clear" w:color="auto" w:fill="CCEEFF"/>
          </w:tcPr>
          <w:p>
            <w:pPr>
              <w:spacing w:after="0"/>
              <w:rPr>
                <w:sz w:val="9"/>
                <w:szCs w:val="9"/>
                <w:color w:val="auto"/>
              </w:rPr>
            </w:pP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CCEEFF"/>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b w:val="1"/>
                <w:bCs w:val="1"/>
                <w:color w:val="auto"/>
              </w:rPr>
              <w:t>Total equity</w:t>
            </w:r>
          </w:p>
        </w:tc>
        <w:tc>
          <w:tcPr>
            <w:tcW w:w="9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1,030,702</w:t>
            </w:r>
          </w:p>
        </w:tc>
        <w:tc>
          <w:tcPr>
            <w:tcW w:w="300" w:type="dxa"/>
            <w:vAlign w:val="bottom"/>
            <w:gridSpan w:val="2"/>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1,036,675</w:t>
            </w:r>
          </w:p>
        </w:tc>
        <w:tc>
          <w:tcPr>
            <w:tcW w:w="16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1,021,859</w:t>
            </w:r>
          </w:p>
        </w:tc>
        <w:tc>
          <w:tcPr>
            <w:tcW w:w="20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(5,973)</w:t>
            </w:r>
          </w:p>
        </w:tc>
        <w:tc>
          <w:tcPr>
            <w:tcW w:w="9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w:t>
            </w:r>
          </w:p>
        </w:tc>
        <w:tc>
          <w:tcPr>
            <w:tcW w:w="1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8,843</w:t>
            </w:r>
          </w:p>
        </w:tc>
        <w:tc>
          <w:tcPr>
            <w:tcW w:w="9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80" w:type="dxa"/>
            <w:vAlign w:val="bottom"/>
            <w:tcBorders>
              <w:top w:val="single" w:sz="8" w:color="CCEEFF"/>
            </w:tcBorders>
            <w:shd w:val="clear" w:color="auto" w:fill="CCEEFF"/>
          </w:tcPr>
          <w:p>
            <w:pPr>
              <w:spacing w:after="0"/>
              <w:rPr>
                <w:sz w:val="9"/>
                <w:szCs w:val="9"/>
                <w:color w:val="auto"/>
              </w:rPr>
            </w:pPr>
          </w:p>
        </w:tc>
        <w:tc>
          <w:tcPr>
            <w:tcW w:w="9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CCEEFF"/>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3380" w:type="dxa"/>
            <w:vAlign w:val="bottom"/>
          </w:tcPr>
          <w:p>
            <w:pPr>
              <w:spacing w:after="0" w:line="122" w:lineRule="exact"/>
              <w:rPr>
                <w:sz w:val="20"/>
                <w:szCs w:val="20"/>
                <w:color w:val="auto"/>
              </w:rPr>
            </w:pPr>
            <w:r>
              <w:rPr>
                <w:rFonts w:ascii="Arial" w:cs="Arial" w:eastAsia="Arial" w:hAnsi="Arial"/>
                <w:sz w:val="11"/>
                <w:szCs w:val="11"/>
                <w:b w:val="1"/>
                <w:bCs w:val="1"/>
                <w:color w:val="auto"/>
              </w:rPr>
              <w:t>Total liabilities and equity</w:t>
            </w:r>
          </w:p>
        </w:tc>
        <w:tc>
          <w:tcPr>
            <w:tcW w:w="9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6,723,232</w:t>
            </w:r>
          </w:p>
        </w:tc>
        <w:tc>
          <w:tcPr>
            <w:tcW w:w="300" w:type="dxa"/>
            <w:vAlign w:val="bottom"/>
            <w:gridSpan w:val="2"/>
          </w:tcPr>
          <w:p>
            <w:pPr>
              <w:jc w:val="right"/>
              <w:ind w:right="83"/>
              <w:spacing w:after="0" w:line="122" w:lineRule="exact"/>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6,374,846</w:t>
            </w:r>
          </w:p>
        </w:tc>
        <w:tc>
          <w:tcPr>
            <w:tcW w:w="16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w:t>
            </w:r>
          </w:p>
        </w:tc>
        <w:tc>
          <w:tcPr>
            <w:tcW w:w="84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6,627,225</w:t>
            </w:r>
          </w:p>
        </w:tc>
        <w:tc>
          <w:tcPr>
            <w:tcW w:w="20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w:t>
            </w:r>
          </w:p>
        </w:tc>
        <w:tc>
          <w:tcPr>
            <w:tcW w:w="88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348,386</w:t>
            </w:r>
          </w:p>
        </w:tc>
        <w:tc>
          <w:tcPr>
            <w:tcW w:w="9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w:t>
            </w:r>
          </w:p>
        </w:tc>
        <w:tc>
          <w:tcPr>
            <w:tcW w:w="1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w:t>
            </w:r>
          </w:p>
        </w:tc>
        <w:tc>
          <w:tcPr>
            <w:tcW w:w="90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96,007</w:t>
            </w:r>
          </w:p>
        </w:tc>
        <w:tc>
          <w:tcPr>
            <w:tcW w:w="9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gridSpan w:val="2"/>
            <w:vMerge w:val="restart"/>
          </w:tcPr>
          <w:p>
            <w:pPr>
              <w:jc w:val="right"/>
              <w:spacing w:after="0"/>
              <w:rPr>
                <w:sz w:val="20"/>
                <w:szCs w:val="20"/>
                <w:color w:val="auto"/>
              </w:rPr>
            </w:pPr>
            <w:r>
              <w:rPr>
                <w:rFonts w:ascii="Arial" w:cs="Arial" w:eastAsia="Arial" w:hAnsi="Arial"/>
                <w:sz w:val="16"/>
                <w:szCs w:val="16"/>
                <w:color w:val="auto"/>
              </w:rPr>
              <w:t>13</w:t>
            </w:r>
          </w:p>
        </w:tc>
        <w:tc>
          <w:tcPr>
            <w:tcW w:w="0" w:type="dxa"/>
            <w:vAlign w:val="bottom"/>
          </w:tcPr>
          <w:p>
            <w:pPr>
              <w:spacing w:after="0" w:line="20" w:lineRule="exact"/>
              <w:rPr>
                <w:sz w:val="1"/>
                <w:szCs w:val="1"/>
                <w:color w:val="auto"/>
              </w:rPr>
            </w:pPr>
          </w:p>
        </w:tc>
      </w:tr>
      <w:tr>
        <w:trPr>
          <w:trHeight w:val="562"/>
        </w:trPr>
        <w:tc>
          <w:tcPr>
            <w:tcW w:w="20" w:type="dxa"/>
            <w:vAlign w:val="bottom"/>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gridSpan w:val="2"/>
            <w:vMerge w:val="continue"/>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662305</wp:posOffset>
            </wp:positionV>
            <wp:extent cx="7202170" cy="10928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right"/>
        <w:spacing w:after="0"/>
        <w:rPr>
          <w:sz w:val="20"/>
          <w:szCs w:val="20"/>
          <w:color w:val="auto"/>
        </w:rPr>
      </w:pPr>
      <w:r>
        <w:rPr>
          <w:rFonts w:ascii="Arial" w:cs="Arial" w:eastAsia="Arial" w:hAnsi="Arial"/>
          <w:sz w:val="16"/>
          <w:szCs w:val="16"/>
          <w:color w:val="auto"/>
        </w:rPr>
        <w:t>EXHIBIT II</w:t>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(In US$ thousand, except per share amounts and ratios)</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150"/>
        </w:trPr>
        <w:tc>
          <w:tcPr>
            <w:tcW w:w="20" w:type="dxa"/>
            <w:vAlign w:val="bottom"/>
          </w:tcPr>
          <w:p>
            <w:pPr>
              <w:spacing w:after="0"/>
              <w:rPr>
                <w:sz w:val="13"/>
                <w:szCs w:val="13"/>
                <w:color w:val="auto"/>
              </w:rPr>
            </w:pPr>
          </w:p>
        </w:tc>
        <w:tc>
          <w:tcPr>
            <w:tcW w:w="33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320" w:type="dxa"/>
            <w:vAlign w:val="bottom"/>
            <w:gridSpan w:val="9"/>
          </w:tcPr>
          <w:p>
            <w:pPr>
              <w:jc w:val="center"/>
              <w:ind w:right="220"/>
              <w:spacing w:after="0"/>
              <w:rPr>
                <w:sz w:val="20"/>
                <w:szCs w:val="20"/>
                <w:color w:val="auto"/>
              </w:rPr>
            </w:pPr>
            <w:r>
              <w:rPr>
                <w:rFonts w:ascii="Arial" w:cs="Arial" w:eastAsia="Arial" w:hAnsi="Arial"/>
                <w:sz w:val="13"/>
                <w:szCs w:val="13"/>
                <w:color w:val="auto"/>
                <w:w w:val="96"/>
              </w:rPr>
              <w:t>FOR THE THREE MONTHS ENDED</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gridSpan w:val="2"/>
            <w:vMerge w:val="restart"/>
          </w:tcPr>
          <w:p>
            <w:pPr>
              <w:jc w:val="right"/>
              <w:ind w:right="440"/>
              <w:spacing w:after="0"/>
              <w:rPr>
                <w:sz w:val="20"/>
                <w:szCs w:val="20"/>
                <w:color w:val="auto"/>
              </w:rPr>
            </w:pPr>
            <w:r>
              <w:rPr>
                <w:rFonts w:ascii="Arial" w:cs="Arial" w:eastAsia="Arial" w:hAnsi="Arial"/>
                <w:sz w:val="13"/>
                <w:szCs w:val="13"/>
                <w:color w:val="auto"/>
              </w:rPr>
              <w:t>(A) - (B)</w:t>
            </w:r>
          </w:p>
        </w:tc>
        <w:tc>
          <w:tcPr>
            <w:tcW w:w="8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gridSpan w:val="2"/>
            <w:vMerge w:val="restart"/>
          </w:tcPr>
          <w:p>
            <w:pPr>
              <w:jc w:val="right"/>
              <w:ind w:right="440"/>
              <w:spacing w:after="0"/>
              <w:rPr>
                <w:sz w:val="20"/>
                <w:szCs w:val="20"/>
                <w:color w:val="auto"/>
              </w:rPr>
            </w:pPr>
            <w:r>
              <w:rPr>
                <w:rFonts w:ascii="Arial" w:cs="Arial" w:eastAsia="Arial" w:hAnsi="Arial"/>
                <w:sz w:val="13"/>
                <w:szCs w:val="13"/>
                <w:color w:val="auto"/>
              </w:rPr>
              <w:t>(A) - (C)</w:t>
            </w:r>
          </w:p>
        </w:tc>
        <w:tc>
          <w:tcPr>
            <w:tcW w:w="9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3380" w:type="dxa"/>
            <w:vAlign w:val="bottom"/>
          </w:tcPr>
          <w:p>
            <w:pPr>
              <w:spacing w:after="0"/>
              <w:rPr>
                <w:sz w:val="9"/>
                <w:szCs w:val="9"/>
                <w:color w:val="auto"/>
              </w:rPr>
            </w:pPr>
          </w:p>
        </w:tc>
        <w:tc>
          <w:tcPr>
            <w:tcW w:w="60" w:type="dxa"/>
            <w:vAlign w:val="bottom"/>
            <w:tcBorders>
              <w:top w:val="single" w:sz="8" w:color="auto"/>
            </w:tcBorders>
          </w:tcPr>
          <w:p>
            <w:pPr>
              <w:spacing w:after="0"/>
              <w:rPr>
                <w:sz w:val="9"/>
                <w:szCs w:val="9"/>
                <w:color w:val="auto"/>
              </w:rPr>
            </w:pPr>
          </w:p>
        </w:tc>
        <w:tc>
          <w:tcPr>
            <w:tcW w:w="1060" w:type="dxa"/>
            <w:vAlign w:val="bottom"/>
            <w:tcBorders>
              <w:top w:val="single" w:sz="8" w:color="auto"/>
            </w:tcBorders>
            <w:gridSpan w:val="2"/>
          </w:tcPr>
          <w:p>
            <w:pPr>
              <w:jc w:val="right"/>
              <w:ind w:right="580"/>
              <w:spacing w:after="0" w:line="110" w:lineRule="exact"/>
              <w:rPr>
                <w:sz w:val="20"/>
                <w:szCs w:val="20"/>
                <w:color w:val="auto"/>
              </w:rPr>
            </w:pPr>
            <w:r>
              <w:rPr>
                <w:rFonts w:ascii="Arial" w:cs="Arial" w:eastAsia="Arial" w:hAnsi="Arial"/>
                <w:sz w:val="12"/>
                <w:szCs w:val="12"/>
                <w:color w:val="auto"/>
              </w:rPr>
              <w:t>(A)</w:t>
            </w:r>
          </w:p>
        </w:tc>
        <w:tc>
          <w:tcPr>
            <w:tcW w:w="60" w:type="dxa"/>
            <w:vAlign w:val="bottom"/>
            <w:tcBorders>
              <w:top w:val="single" w:sz="8" w:color="auto"/>
            </w:tcBorders>
          </w:tcPr>
          <w:p>
            <w:pPr>
              <w:spacing w:after="0"/>
              <w:rPr>
                <w:sz w:val="9"/>
                <w:szCs w:val="9"/>
                <w:color w:val="auto"/>
              </w:rPr>
            </w:pPr>
          </w:p>
        </w:tc>
        <w:tc>
          <w:tcPr>
            <w:tcW w:w="1100" w:type="dxa"/>
            <w:vAlign w:val="bottom"/>
            <w:tcBorders>
              <w:top w:val="single" w:sz="8" w:color="auto"/>
            </w:tcBorders>
            <w:gridSpan w:val="2"/>
          </w:tcPr>
          <w:p>
            <w:pPr>
              <w:jc w:val="center"/>
              <w:ind w:right="240"/>
              <w:spacing w:after="0" w:line="110" w:lineRule="exact"/>
              <w:rPr>
                <w:sz w:val="20"/>
                <w:szCs w:val="20"/>
                <w:color w:val="auto"/>
              </w:rPr>
            </w:pPr>
            <w:r>
              <w:rPr>
                <w:rFonts w:ascii="Arial" w:cs="Arial" w:eastAsia="Arial" w:hAnsi="Arial"/>
                <w:sz w:val="12"/>
                <w:szCs w:val="12"/>
                <w:color w:val="auto"/>
              </w:rPr>
              <w:t>(B)</w:t>
            </w:r>
          </w:p>
        </w:tc>
        <w:tc>
          <w:tcPr>
            <w:tcW w:w="60" w:type="dxa"/>
            <w:vAlign w:val="bottom"/>
            <w:tcBorders>
              <w:top w:val="single" w:sz="8" w:color="auto"/>
            </w:tcBorders>
          </w:tcPr>
          <w:p>
            <w:pPr>
              <w:spacing w:after="0"/>
              <w:rPr>
                <w:sz w:val="9"/>
                <w:szCs w:val="9"/>
                <w:color w:val="auto"/>
              </w:rPr>
            </w:pPr>
          </w:p>
        </w:tc>
        <w:tc>
          <w:tcPr>
            <w:tcW w:w="60" w:type="dxa"/>
            <w:vAlign w:val="bottom"/>
            <w:tcBorders>
              <w:top w:val="single" w:sz="8" w:color="auto"/>
            </w:tcBorders>
          </w:tcPr>
          <w:p>
            <w:pPr>
              <w:spacing w:after="0"/>
              <w:rPr>
                <w:sz w:val="9"/>
                <w:szCs w:val="9"/>
                <w:color w:val="auto"/>
              </w:rPr>
            </w:pPr>
          </w:p>
        </w:tc>
        <w:tc>
          <w:tcPr>
            <w:tcW w:w="820" w:type="dxa"/>
            <w:vAlign w:val="bottom"/>
            <w:tcBorders>
              <w:top w:val="single" w:sz="8" w:color="auto"/>
            </w:tcBorders>
          </w:tcPr>
          <w:p>
            <w:pPr>
              <w:jc w:val="right"/>
              <w:ind w:right="295"/>
              <w:spacing w:after="0" w:line="110" w:lineRule="exact"/>
              <w:rPr>
                <w:sz w:val="20"/>
                <w:szCs w:val="20"/>
                <w:color w:val="auto"/>
              </w:rPr>
            </w:pPr>
            <w:r>
              <w:rPr>
                <w:rFonts w:ascii="Arial" w:cs="Arial" w:eastAsia="Arial" w:hAnsi="Arial"/>
                <w:sz w:val="12"/>
                <w:szCs w:val="12"/>
                <w:color w:val="auto"/>
              </w:rPr>
              <w:t>(C)</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0" w:type="dxa"/>
            <w:vAlign w:val="bottom"/>
            <w:gridSpan w:val="2"/>
            <w:vMerge w:val="continue"/>
          </w:tcPr>
          <w:p>
            <w:pPr>
              <w:spacing w:after="0"/>
              <w:rPr>
                <w:sz w:val="9"/>
                <w:szCs w:val="9"/>
                <w:color w:val="auto"/>
              </w:rPr>
            </w:pPr>
          </w:p>
        </w:tc>
        <w:tc>
          <w:tcPr>
            <w:tcW w:w="880" w:type="dxa"/>
            <w:vAlign w:val="bottom"/>
          </w:tcPr>
          <w:p>
            <w:pPr>
              <w:spacing w:after="0"/>
              <w:rPr>
                <w:sz w:val="9"/>
                <w:szCs w:val="9"/>
                <w:color w:val="auto"/>
              </w:rPr>
            </w:pPr>
          </w:p>
        </w:tc>
        <w:tc>
          <w:tcPr>
            <w:tcW w:w="2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0" w:type="dxa"/>
            <w:vAlign w:val="bottom"/>
            <w:gridSpan w:val="2"/>
            <w:vMerge w:val="continue"/>
          </w:tcPr>
          <w:p>
            <w:pPr>
              <w:spacing w:after="0"/>
              <w:rPr>
                <w:sz w:val="9"/>
                <w:szCs w:val="9"/>
                <w:color w:val="auto"/>
              </w:rPr>
            </w:pPr>
          </w:p>
        </w:tc>
        <w:tc>
          <w:tcPr>
            <w:tcW w:w="900" w:type="dxa"/>
            <w:vAlign w:val="bottom"/>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33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3"/>
                <w:szCs w:val="13"/>
                <w:color w:val="auto"/>
                <w:w w:val="87"/>
              </w:rPr>
              <w:t>June 30, 2021</w:t>
            </w:r>
          </w:p>
        </w:tc>
        <w:tc>
          <w:tcPr>
            <w:tcW w:w="60" w:type="dxa"/>
            <w:vAlign w:val="bottom"/>
          </w:tcPr>
          <w:p>
            <w:pPr>
              <w:spacing w:after="0"/>
              <w:rPr>
                <w:sz w:val="13"/>
                <w:szCs w:val="13"/>
                <w:color w:val="auto"/>
              </w:rPr>
            </w:pPr>
          </w:p>
        </w:tc>
        <w:tc>
          <w:tcPr>
            <w:tcW w:w="1100" w:type="dxa"/>
            <w:vAlign w:val="bottom"/>
            <w:gridSpan w:val="2"/>
          </w:tcPr>
          <w:p>
            <w:pPr>
              <w:jc w:val="center"/>
              <w:ind w:right="240"/>
              <w:spacing w:after="0"/>
              <w:rPr>
                <w:sz w:val="20"/>
                <w:szCs w:val="20"/>
                <w:color w:val="auto"/>
              </w:rPr>
            </w:pPr>
            <w:r>
              <w:rPr>
                <w:rFonts w:ascii="Arial" w:cs="Arial" w:eastAsia="Arial" w:hAnsi="Arial"/>
                <w:sz w:val="13"/>
                <w:szCs w:val="13"/>
                <w:color w:val="auto"/>
                <w:w w:val="90"/>
              </w:rPr>
              <w:t>March 31, 2021</w:t>
            </w: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3"/>
                <w:szCs w:val="13"/>
                <w:color w:val="auto"/>
                <w:w w:val="87"/>
              </w:rPr>
              <w:t>June 30, 2020</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gridSpan w:val="2"/>
          </w:tcPr>
          <w:p>
            <w:pPr>
              <w:jc w:val="right"/>
              <w:ind w:right="400"/>
              <w:spacing w:after="0"/>
              <w:rPr>
                <w:sz w:val="20"/>
                <w:szCs w:val="20"/>
                <w:color w:val="auto"/>
              </w:rPr>
            </w:pPr>
            <w:r>
              <w:rPr>
                <w:rFonts w:ascii="Arial" w:cs="Arial" w:eastAsia="Arial" w:hAnsi="Arial"/>
                <w:sz w:val="13"/>
                <w:szCs w:val="13"/>
                <w:color w:val="auto"/>
              </w:rPr>
              <w:t>CHANGE</w:t>
            </w:r>
          </w:p>
        </w:tc>
        <w:tc>
          <w:tcPr>
            <w:tcW w:w="880" w:type="dxa"/>
            <w:vAlign w:val="bottom"/>
          </w:tcPr>
          <w:p>
            <w:pPr>
              <w:jc w:val="right"/>
              <w:ind w:right="316"/>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gridSpan w:val="2"/>
          </w:tcPr>
          <w:p>
            <w:pPr>
              <w:jc w:val="right"/>
              <w:ind w:right="400"/>
              <w:spacing w:after="0"/>
              <w:rPr>
                <w:sz w:val="20"/>
                <w:szCs w:val="20"/>
                <w:color w:val="auto"/>
              </w:rPr>
            </w:pPr>
            <w:r>
              <w:rPr>
                <w:rFonts w:ascii="Arial" w:cs="Arial" w:eastAsia="Arial" w:hAnsi="Arial"/>
                <w:sz w:val="13"/>
                <w:szCs w:val="13"/>
                <w:color w:val="auto"/>
              </w:rPr>
              <w:t>CHANGE</w:t>
            </w:r>
          </w:p>
        </w:tc>
        <w:tc>
          <w:tcPr>
            <w:tcW w:w="900" w:type="dxa"/>
            <w:vAlign w:val="bottom"/>
          </w:tcPr>
          <w:p>
            <w:pPr>
              <w:jc w:val="right"/>
              <w:ind w:right="335"/>
              <w:spacing w:after="0"/>
              <w:rPr>
                <w:sz w:val="20"/>
                <w:szCs w:val="20"/>
                <w:color w:val="auto"/>
              </w:rPr>
            </w:pPr>
            <w:r>
              <w:rPr>
                <w:rFonts w:ascii="Arial" w:cs="Arial" w:eastAsia="Arial" w:hAnsi="Arial"/>
                <w:sz w:val="13"/>
                <w:szCs w:val="13"/>
                <w:color w:val="auto"/>
              </w:rPr>
              <w:t>%</w:t>
            </w:r>
          </w:p>
        </w:tc>
        <w:tc>
          <w:tcPr>
            <w:tcW w:w="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33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3"/>
                <w:szCs w:val="13"/>
                <w:b w:val="1"/>
                <w:bCs w:val="1"/>
                <w:color w:val="auto"/>
              </w:rPr>
              <w:t>Net Interest Income:</w:t>
            </w:r>
          </w:p>
        </w:tc>
        <w:tc>
          <w:tcPr>
            <w:tcW w:w="60" w:type="dxa"/>
            <w:vAlign w:val="bottom"/>
            <w:tcBorders>
              <w:top w:val="single" w:sz="8" w:color="auto"/>
            </w:tcBorders>
            <w:shd w:val="clear" w:color="auto" w:fill="CCEEFF"/>
          </w:tcPr>
          <w:p>
            <w:pPr>
              <w:spacing w:after="0"/>
              <w:rPr>
                <w:sz w:val="10"/>
                <w:szCs w:val="10"/>
                <w:color w:val="auto"/>
              </w:rPr>
            </w:pPr>
          </w:p>
        </w:tc>
        <w:tc>
          <w:tcPr>
            <w:tcW w:w="8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94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82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90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Interest income</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34,164</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32,918</w:t>
            </w:r>
          </w:p>
        </w:tc>
        <w:tc>
          <w:tcPr>
            <w:tcW w:w="12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44,507</w:t>
            </w:r>
          </w:p>
        </w:tc>
        <w:tc>
          <w:tcPr>
            <w:tcW w:w="18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1,246</w:t>
            </w:r>
          </w:p>
        </w:tc>
        <w:tc>
          <w:tcPr>
            <w:tcW w:w="1140" w:type="dxa"/>
            <w:vAlign w:val="bottom"/>
            <w:gridSpan w:val="2"/>
          </w:tcPr>
          <w:p>
            <w:pPr>
              <w:jc w:val="right"/>
              <w:ind w:right="140"/>
              <w:spacing w:after="0" w:line="134" w:lineRule="exact"/>
              <w:rPr>
                <w:sz w:val="20"/>
                <w:szCs w:val="20"/>
                <w:color w:val="auto"/>
              </w:rPr>
            </w:pPr>
            <w:r>
              <w:rPr>
                <w:rFonts w:ascii="Arial" w:cs="Arial" w:eastAsia="Arial" w:hAnsi="Arial"/>
                <w:sz w:val="13"/>
                <w:szCs w:val="13"/>
                <w:color w:val="auto"/>
              </w:rPr>
              <w:t>4%</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(10,343)</w:t>
            </w:r>
          </w:p>
        </w:tc>
        <w:tc>
          <w:tcPr>
            <w:tcW w:w="1060" w:type="dxa"/>
            <w:vAlign w:val="bottom"/>
            <w:gridSpan w:val="2"/>
          </w:tcPr>
          <w:p>
            <w:pPr>
              <w:jc w:val="right"/>
              <w:ind w:right="20"/>
              <w:spacing w:after="0" w:line="134" w:lineRule="exact"/>
              <w:rPr>
                <w:sz w:val="20"/>
                <w:szCs w:val="20"/>
                <w:color w:val="auto"/>
              </w:rPr>
            </w:pPr>
            <w:r>
              <w:rPr>
                <w:rFonts w:ascii="Arial" w:cs="Arial" w:eastAsia="Arial" w:hAnsi="Arial"/>
                <w:sz w:val="13"/>
                <w:szCs w:val="13"/>
                <w:color w:val="auto"/>
              </w:rPr>
              <w:t>(23)%</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Interest expense</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(13,166)</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(14,023)</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(22,784)</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857</w:t>
            </w: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6</w:t>
            </w: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9,618</w:t>
            </w:r>
          </w:p>
        </w:tc>
        <w:tc>
          <w:tcPr>
            <w:tcW w:w="10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42</w:t>
            </w: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8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94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b w:val="1"/>
                <w:bCs w:val="1"/>
                <w:color w:val="auto"/>
              </w:rPr>
              <w:t>Net Interest Income</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20,998</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18,895</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21,723</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2,103</w:t>
            </w:r>
          </w:p>
        </w:tc>
        <w:tc>
          <w:tcPr>
            <w:tcW w:w="1140" w:type="dxa"/>
            <w:vAlign w:val="bottom"/>
            <w:gridSpan w:val="2"/>
            <w:shd w:val="clear" w:color="auto" w:fill="CCEEFF"/>
          </w:tcPr>
          <w:p>
            <w:pPr>
              <w:jc w:val="right"/>
              <w:ind w:right="260"/>
              <w:spacing w:after="0" w:line="134" w:lineRule="exact"/>
              <w:rPr>
                <w:sz w:val="20"/>
                <w:szCs w:val="20"/>
                <w:color w:val="auto"/>
              </w:rPr>
            </w:pPr>
            <w:r>
              <w:rPr>
                <w:rFonts w:ascii="Arial" w:cs="Arial" w:eastAsia="Arial" w:hAnsi="Arial"/>
                <w:sz w:val="13"/>
                <w:szCs w:val="13"/>
                <w:color w:val="auto"/>
              </w:rPr>
              <w:t>11</w:t>
            </w: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(725)</w:t>
            </w: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8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94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b w:val="1"/>
                <w:bCs w:val="1"/>
                <w:color w:val="auto"/>
              </w:rPr>
              <w:t>Other income (expense):</w:t>
            </w:r>
          </w:p>
        </w:tc>
        <w:tc>
          <w:tcPr>
            <w:tcW w:w="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Fees and commissions, net</w:t>
            </w:r>
          </w:p>
        </w:tc>
        <w:tc>
          <w:tcPr>
            <w:tcW w:w="60" w:type="dxa"/>
            <w:vAlign w:val="bottom"/>
          </w:tcPr>
          <w:p>
            <w:pPr>
              <w:spacing w:after="0"/>
              <w:rPr>
                <w:sz w:val="11"/>
                <w:szCs w:val="11"/>
                <w:color w:val="auto"/>
              </w:rPr>
            </w:pP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4,271</w:t>
            </w:r>
          </w:p>
        </w:tc>
        <w:tc>
          <w:tcPr>
            <w:tcW w:w="60" w:type="dxa"/>
            <w:vAlign w:val="bottom"/>
          </w:tcPr>
          <w:p>
            <w:pPr>
              <w:spacing w:after="0"/>
              <w:rPr>
                <w:sz w:val="11"/>
                <w:szCs w:val="11"/>
                <w:color w:val="auto"/>
              </w:rPr>
            </w:pP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3,040</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1,940</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1,231</w:t>
            </w:r>
          </w:p>
        </w:tc>
        <w:tc>
          <w:tcPr>
            <w:tcW w:w="880" w:type="dxa"/>
            <w:vAlign w:val="bottom"/>
          </w:tcPr>
          <w:p>
            <w:pPr>
              <w:jc w:val="right"/>
              <w:spacing w:after="0" w:line="134" w:lineRule="exact"/>
              <w:rPr>
                <w:sz w:val="20"/>
                <w:szCs w:val="20"/>
                <w:color w:val="auto"/>
              </w:rPr>
            </w:pPr>
            <w:r>
              <w:rPr>
                <w:rFonts w:ascii="Arial" w:cs="Arial" w:eastAsia="Arial" w:hAnsi="Arial"/>
                <w:sz w:val="13"/>
                <w:szCs w:val="13"/>
                <w:color w:val="auto"/>
              </w:rPr>
              <w:t>41</w:t>
            </w: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2,331</w:t>
            </w:r>
          </w:p>
        </w:tc>
        <w:tc>
          <w:tcPr>
            <w:tcW w:w="106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120</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Gain (loss) on financial instruments, net</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234</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(71)</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(3,949)</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305</w:t>
            </w: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430</w:t>
            </w: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4,183</w:t>
            </w:r>
          </w:p>
        </w:tc>
        <w:tc>
          <w:tcPr>
            <w:tcW w:w="10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106</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Other income, net</w:t>
            </w:r>
          </w:p>
        </w:tc>
        <w:tc>
          <w:tcPr>
            <w:tcW w:w="60" w:type="dxa"/>
            <w:vAlign w:val="bottom"/>
          </w:tcPr>
          <w:p>
            <w:pPr>
              <w:spacing w:after="0"/>
              <w:rPr>
                <w:sz w:val="11"/>
                <w:szCs w:val="11"/>
                <w:color w:val="auto"/>
              </w:rPr>
            </w:pP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87</w:t>
            </w:r>
          </w:p>
        </w:tc>
        <w:tc>
          <w:tcPr>
            <w:tcW w:w="60" w:type="dxa"/>
            <w:vAlign w:val="bottom"/>
          </w:tcPr>
          <w:p>
            <w:pPr>
              <w:spacing w:after="0"/>
              <w:rPr>
                <w:sz w:val="11"/>
                <w:szCs w:val="11"/>
                <w:color w:val="auto"/>
              </w:rPr>
            </w:pP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97</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191</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(10)</w:t>
            </w: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(10)</w:t>
            </w:r>
          </w:p>
        </w:tc>
        <w:tc>
          <w:tcPr>
            <w:tcW w:w="100" w:type="dxa"/>
            <w:vAlign w:val="bottom"/>
          </w:tcPr>
          <w:p>
            <w:pPr>
              <w:spacing w:after="0"/>
              <w:rPr>
                <w:sz w:val="11"/>
                <w:szCs w:val="11"/>
                <w:color w:val="auto"/>
              </w:rPr>
            </w:pPr>
          </w:p>
        </w:tc>
        <w:tc>
          <w:tcPr>
            <w:tcW w:w="10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(104)</w:t>
            </w:r>
          </w:p>
        </w:tc>
        <w:tc>
          <w:tcPr>
            <w:tcW w:w="106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(54)</w:t>
            </w: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33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3"/>
                <w:szCs w:val="13"/>
                <w:color w:val="auto"/>
              </w:rPr>
              <w:t>Total other income, net</w:t>
            </w: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8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4,592</w:t>
            </w:r>
          </w:p>
        </w:tc>
        <w:tc>
          <w:tcPr>
            <w:tcW w:w="2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9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3,066</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82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(1,818)</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1,526</w:t>
            </w:r>
          </w:p>
        </w:tc>
        <w:tc>
          <w:tcPr>
            <w:tcW w:w="220" w:type="dxa"/>
            <w:vAlign w:val="bottom"/>
            <w:tcBorders>
              <w:top w:val="single" w:sz="8" w:color="CCEEFF"/>
            </w:tcBorders>
            <w:shd w:val="clear" w:color="auto" w:fill="CCEEFF"/>
          </w:tcPr>
          <w:p>
            <w:pPr>
              <w:spacing w:after="0"/>
              <w:rPr>
                <w:sz w:val="10"/>
                <w:szCs w:val="10"/>
                <w:color w:val="auto"/>
              </w:rPr>
            </w:pPr>
          </w:p>
        </w:tc>
        <w:tc>
          <w:tcPr>
            <w:tcW w:w="880" w:type="dxa"/>
            <w:vAlign w:val="bottom"/>
            <w:tcBorders>
              <w:top w:val="single" w:sz="8" w:color="CCEEFF"/>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50</w:t>
            </w:r>
          </w:p>
        </w:tc>
        <w:tc>
          <w:tcPr>
            <w:tcW w:w="2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bottom w:val="single" w:sz="8" w:color="auto"/>
            </w:tcBorders>
            <w:shd w:val="clear" w:color="auto" w:fill="CCEEFF"/>
          </w:tcPr>
          <w:p>
            <w:pPr>
              <w:spacing w:after="0"/>
              <w:rPr>
                <w:sz w:val="10"/>
                <w:szCs w:val="10"/>
                <w:color w:val="auto"/>
              </w:rPr>
            </w:pPr>
          </w:p>
        </w:tc>
        <w:tc>
          <w:tcPr>
            <w:tcW w:w="7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6,410</w:t>
            </w:r>
          </w:p>
        </w:tc>
        <w:tc>
          <w:tcPr>
            <w:tcW w:w="220" w:type="dxa"/>
            <w:vAlign w:val="bottom"/>
            <w:tcBorders>
              <w:top w:val="single" w:sz="8" w:color="CCEEFF"/>
            </w:tcBorders>
            <w:shd w:val="clear" w:color="auto" w:fill="CCEEFF"/>
          </w:tcPr>
          <w:p>
            <w:pPr>
              <w:spacing w:after="0"/>
              <w:rPr>
                <w:sz w:val="10"/>
                <w:szCs w:val="10"/>
                <w:color w:val="auto"/>
              </w:rPr>
            </w:pPr>
          </w:p>
        </w:tc>
        <w:tc>
          <w:tcPr>
            <w:tcW w:w="1060" w:type="dxa"/>
            <w:vAlign w:val="bottom"/>
            <w:tcBorders>
              <w:top w:val="single" w:sz="8" w:color="CCEEFF"/>
            </w:tcBorders>
            <w:gridSpan w:val="2"/>
            <w:shd w:val="clear" w:color="auto" w:fill="CCEEFF"/>
          </w:tcPr>
          <w:p>
            <w:pPr>
              <w:jc w:val="right"/>
              <w:ind w:right="160"/>
              <w:spacing w:after="0" w:line="127" w:lineRule="exact"/>
              <w:rPr>
                <w:sz w:val="20"/>
                <w:szCs w:val="20"/>
                <w:color w:val="auto"/>
              </w:rPr>
            </w:pPr>
            <w:r>
              <w:rPr>
                <w:rFonts w:ascii="Arial" w:cs="Arial" w:eastAsia="Arial" w:hAnsi="Arial"/>
                <w:sz w:val="13"/>
                <w:szCs w:val="13"/>
                <w:color w:val="auto"/>
              </w:rPr>
              <w:t>353</w:t>
            </w: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b w:val="1"/>
                <w:bCs w:val="1"/>
                <w:color w:val="auto"/>
              </w:rPr>
              <w:t>Total revenues</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25,590</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21,961</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19,905</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3,629</w:t>
            </w: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17</w:t>
            </w: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5,685</w:t>
            </w:r>
          </w:p>
        </w:tc>
        <w:tc>
          <w:tcPr>
            <w:tcW w:w="10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29</w:t>
            </w: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33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6"/>
        </w:trPr>
        <w:tc>
          <w:tcPr>
            <w:tcW w:w="20" w:type="dxa"/>
            <w:vAlign w:val="bottom"/>
            <w:vMerge w:val="continue"/>
          </w:tcPr>
          <w:p>
            <w:pPr>
              <w:spacing w:after="0"/>
              <w:rPr>
                <w:sz w:val="12"/>
                <w:szCs w:val="12"/>
                <w:color w:val="auto"/>
              </w:rPr>
            </w:pPr>
          </w:p>
        </w:tc>
        <w:tc>
          <w:tcPr>
            <w:tcW w:w="3380" w:type="dxa"/>
            <w:vAlign w:val="bottom"/>
            <w:shd w:val="clear" w:color="auto" w:fill="CCEEFF"/>
          </w:tcPr>
          <w:p>
            <w:pPr>
              <w:spacing w:after="0" w:line="147" w:lineRule="exact"/>
              <w:rPr>
                <w:sz w:val="20"/>
                <w:szCs w:val="20"/>
                <w:color w:val="auto"/>
              </w:rPr>
            </w:pPr>
            <w:r>
              <w:rPr>
                <w:rFonts w:ascii="Arial" w:cs="Arial" w:eastAsia="Arial" w:hAnsi="Arial"/>
                <w:sz w:val="13"/>
                <w:szCs w:val="13"/>
                <w:color w:val="auto"/>
              </w:rPr>
              <w:t>(Provision) reversal for credit losses</w:t>
            </w:r>
          </w:p>
        </w:tc>
        <w:tc>
          <w:tcPr>
            <w:tcW w:w="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(1,384)</w:t>
            </w:r>
          </w:p>
        </w:tc>
        <w:tc>
          <w:tcPr>
            <w:tcW w:w="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3"/>
                <w:szCs w:val="13"/>
                <w:color w:val="auto"/>
              </w:rPr>
              <w:t>2,607</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(1,384)</w:t>
            </w:r>
          </w:p>
        </w:tc>
        <w:tc>
          <w:tcPr>
            <w:tcW w:w="11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1"/>
                <w:szCs w:val="11"/>
                <w:color w:val="auto"/>
              </w:rPr>
              <w:t>n.m.</w:t>
            </w:r>
            <w:r>
              <w:rPr>
                <w:rFonts w:ascii="Arial" w:cs="Arial" w:eastAsia="Arial" w:hAnsi="Arial"/>
                <w:sz w:val="16"/>
                <w:szCs w:val="16"/>
                <w:color w:val="auto"/>
                <w:vertAlign w:val="superscript"/>
              </w:rPr>
              <w:t>(*)</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(3,991)</w:t>
            </w:r>
          </w:p>
        </w:tc>
        <w:tc>
          <w:tcPr>
            <w:tcW w:w="106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3"/>
                <w:szCs w:val="13"/>
                <w:color w:val="auto"/>
              </w:rPr>
              <w:t>(153)</w:t>
            </w: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3380" w:type="dxa"/>
            <w:vAlign w:val="bottom"/>
          </w:tcPr>
          <w:p>
            <w:pPr>
              <w:spacing w:after="0" w:line="147" w:lineRule="exact"/>
              <w:rPr>
                <w:sz w:val="20"/>
                <w:szCs w:val="20"/>
                <w:color w:val="auto"/>
              </w:rPr>
            </w:pPr>
            <w:r>
              <w:rPr>
                <w:rFonts w:ascii="Arial" w:cs="Arial" w:eastAsia="Arial" w:hAnsi="Arial"/>
                <w:sz w:val="13"/>
                <w:szCs w:val="13"/>
                <w:color w:val="auto"/>
              </w:rPr>
              <w:t>Gain (loss) on non-financial assets, net</w:t>
            </w:r>
          </w:p>
        </w:tc>
        <w:tc>
          <w:tcPr>
            <w:tcW w:w="60" w:type="dxa"/>
            <w:vAlign w:val="bottom"/>
          </w:tcPr>
          <w:p>
            <w:pPr>
              <w:spacing w:after="0"/>
              <w:rPr>
                <w:sz w:val="12"/>
                <w:szCs w:val="12"/>
                <w:color w:val="auto"/>
              </w:rPr>
            </w:pPr>
          </w:p>
        </w:tc>
        <w:tc>
          <w:tcPr>
            <w:tcW w:w="1060" w:type="dxa"/>
            <w:vAlign w:val="bottom"/>
            <w:gridSpan w:val="2"/>
          </w:tcPr>
          <w:p>
            <w:pPr>
              <w:jc w:val="right"/>
              <w:ind w:right="220"/>
              <w:spacing w:after="0" w:line="147"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2"/>
                <w:szCs w:val="12"/>
                <w:color w:val="auto"/>
              </w:rPr>
            </w:pPr>
          </w:p>
        </w:tc>
        <w:tc>
          <w:tcPr>
            <w:tcW w:w="1100" w:type="dxa"/>
            <w:vAlign w:val="bottom"/>
            <w:gridSpan w:val="2"/>
          </w:tcPr>
          <w:p>
            <w:pPr>
              <w:jc w:val="right"/>
              <w:ind w:right="160"/>
              <w:spacing w:after="0" w:line="147"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80" w:type="dxa"/>
            <w:vAlign w:val="bottom"/>
            <w:gridSpan w:val="2"/>
          </w:tcPr>
          <w:p>
            <w:pPr>
              <w:jc w:val="right"/>
              <w:ind w:right="120"/>
              <w:spacing w:after="0" w:line="147" w:lineRule="exact"/>
              <w:rPr>
                <w:sz w:val="20"/>
                <w:szCs w:val="20"/>
                <w:color w:val="auto"/>
              </w:rPr>
            </w:pPr>
            <w:r>
              <w:rPr>
                <w:rFonts w:ascii="Arial" w:cs="Arial" w:eastAsia="Arial" w:hAnsi="Arial"/>
                <w:sz w:val="13"/>
                <w:szCs w:val="13"/>
                <w:color w:val="auto"/>
              </w:rPr>
              <w:t>(140)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7" w:lineRule="exact"/>
              <w:rPr>
                <w:sz w:val="20"/>
                <w:szCs w:val="20"/>
                <w:color w:val="auto"/>
              </w:rPr>
            </w:pPr>
            <w:r>
              <w:rPr>
                <w:rFonts w:ascii="Arial" w:cs="Arial" w:eastAsia="Arial" w:hAnsi="Arial"/>
                <w:sz w:val="13"/>
                <w:szCs w:val="13"/>
                <w:color w:val="auto"/>
              </w:rPr>
              <w:t>0</w:t>
            </w:r>
          </w:p>
        </w:tc>
        <w:tc>
          <w:tcPr>
            <w:tcW w:w="220" w:type="dxa"/>
            <w:vAlign w:val="bottom"/>
          </w:tcPr>
          <w:p>
            <w:pPr>
              <w:spacing w:after="0"/>
              <w:rPr>
                <w:sz w:val="12"/>
                <w:szCs w:val="12"/>
                <w:color w:val="auto"/>
              </w:rPr>
            </w:pPr>
          </w:p>
        </w:tc>
        <w:tc>
          <w:tcPr>
            <w:tcW w:w="1140" w:type="dxa"/>
            <w:vAlign w:val="bottom"/>
            <w:gridSpan w:val="2"/>
          </w:tcPr>
          <w:p>
            <w:pPr>
              <w:jc w:val="right"/>
              <w:ind w:right="120"/>
              <w:spacing w:after="0" w:line="147" w:lineRule="exact"/>
              <w:rPr>
                <w:sz w:val="20"/>
                <w:szCs w:val="20"/>
                <w:color w:val="auto"/>
              </w:rPr>
            </w:pPr>
            <w:r>
              <w:rPr>
                <w:rFonts w:ascii="Arial" w:cs="Arial" w:eastAsia="Arial" w:hAnsi="Arial"/>
                <w:sz w:val="11"/>
                <w:szCs w:val="11"/>
                <w:color w:val="auto"/>
              </w:rPr>
              <w:t>n.m.</w:t>
            </w:r>
            <w:r>
              <w:rPr>
                <w:rFonts w:ascii="Arial" w:cs="Arial" w:eastAsia="Arial" w:hAnsi="Arial"/>
                <w:sz w:val="16"/>
                <w:szCs w:val="16"/>
                <w:color w:val="auto"/>
                <w:vertAlign w:val="superscript"/>
              </w:rPr>
              <w:t>(*)</w:t>
            </w:r>
          </w:p>
        </w:tc>
        <w:tc>
          <w:tcPr>
            <w:tcW w:w="100" w:type="dxa"/>
            <w:vAlign w:val="bottom"/>
          </w:tcPr>
          <w:p>
            <w:pPr>
              <w:spacing w:after="0"/>
              <w:rPr>
                <w:sz w:val="12"/>
                <w:szCs w:val="12"/>
                <w:color w:val="auto"/>
              </w:rPr>
            </w:pPr>
          </w:p>
        </w:tc>
        <w:tc>
          <w:tcPr>
            <w:tcW w:w="780" w:type="dxa"/>
            <w:vAlign w:val="bottom"/>
          </w:tcPr>
          <w:p>
            <w:pPr>
              <w:jc w:val="right"/>
              <w:spacing w:after="0" w:line="147" w:lineRule="exact"/>
              <w:rPr>
                <w:sz w:val="20"/>
                <w:szCs w:val="20"/>
                <w:color w:val="auto"/>
              </w:rPr>
            </w:pPr>
            <w:r>
              <w:rPr>
                <w:rFonts w:ascii="Arial" w:cs="Arial" w:eastAsia="Arial" w:hAnsi="Arial"/>
                <w:sz w:val="13"/>
                <w:szCs w:val="13"/>
                <w:color w:val="auto"/>
              </w:rPr>
              <w:t>140</w:t>
            </w:r>
          </w:p>
        </w:tc>
        <w:tc>
          <w:tcPr>
            <w:tcW w:w="220" w:type="dxa"/>
            <w:vAlign w:val="bottom"/>
          </w:tcPr>
          <w:p>
            <w:pPr>
              <w:spacing w:after="0"/>
              <w:rPr>
                <w:sz w:val="12"/>
                <w:szCs w:val="12"/>
                <w:color w:val="auto"/>
              </w:rPr>
            </w:pPr>
          </w:p>
        </w:tc>
        <w:tc>
          <w:tcPr>
            <w:tcW w:w="1060" w:type="dxa"/>
            <w:vAlign w:val="bottom"/>
            <w:gridSpan w:val="2"/>
          </w:tcPr>
          <w:p>
            <w:pPr>
              <w:jc w:val="right"/>
              <w:ind w:right="160"/>
              <w:spacing w:after="0" w:line="147"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3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b w:val="1"/>
                <w:bCs w:val="1"/>
                <w:color w:val="auto"/>
              </w:rPr>
              <w:t>Operating expenses:</w:t>
            </w:r>
          </w:p>
        </w:tc>
        <w:tc>
          <w:tcPr>
            <w:tcW w:w="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ind w:left="120"/>
              <w:spacing w:after="0" w:line="134" w:lineRule="exact"/>
              <w:rPr>
                <w:sz w:val="20"/>
                <w:szCs w:val="20"/>
                <w:color w:val="auto"/>
              </w:rPr>
            </w:pPr>
            <w:r>
              <w:rPr>
                <w:rFonts w:ascii="Arial" w:cs="Arial" w:eastAsia="Arial" w:hAnsi="Arial"/>
                <w:sz w:val="13"/>
                <w:szCs w:val="13"/>
                <w:color w:val="auto"/>
              </w:rPr>
              <w:t>Salaries and other employee expenses</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(5,363)</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(5,448)</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(4,172)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85</w:t>
            </w: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2</w:t>
            </w: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(1,191)</w:t>
            </w: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(29)</w:t>
            </w:r>
          </w:p>
        </w:tc>
        <w:tc>
          <w:tcPr>
            <w:tcW w:w="0" w:type="dxa"/>
            <w:vAlign w:val="bottom"/>
          </w:tcPr>
          <w:p>
            <w:pPr>
              <w:spacing w:after="0"/>
              <w:rPr>
                <w:sz w:val="1"/>
                <w:szCs w:val="1"/>
                <w:color w:val="auto"/>
              </w:rPr>
            </w:pPr>
          </w:p>
        </w:tc>
      </w:tr>
      <w:tr>
        <w:trPr>
          <w:trHeight w:val="118"/>
        </w:trPr>
        <w:tc>
          <w:tcPr>
            <w:tcW w:w="20" w:type="dxa"/>
            <w:vAlign w:val="bottom"/>
          </w:tcPr>
          <w:p>
            <w:pPr>
              <w:spacing w:after="0"/>
              <w:rPr>
                <w:sz w:val="10"/>
                <w:szCs w:val="10"/>
                <w:color w:val="auto"/>
              </w:rPr>
            </w:pPr>
          </w:p>
        </w:tc>
        <w:tc>
          <w:tcPr>
            <w:tcW w:w="3380" w:type="dxa"/>
            <w:vAlign w:val="bottom"/>
          </w:tcPr>
          <w:p>
            <w:pPr>
              <w:ind w:left="120"/>
              <w:spacing w:after="0" w:line="118" w:lineRule="exact"/>
              <w:rPr>
                <w:sz w:val="20"/>
                <w:szCs w:val="20"/>
                <w:color w:val="auto"/>
              </w:rPr>
            </w:pPr>
            <w:r>
              <w:rPr>
                <w:rFonts w:ascii="Arial" w:cs="Arial" w:eastAsia="Arial" w:hAnsi="Arial"/>
                <w:sz w:val="13"/>
                <w:szCs w:val="13"/>
                <w:color w:val="auto"/>
              </w:rPr>
              <w:t>Depreciation of investment property, equipment and</w:t>
            </w:r>
          </w:p>
        </w:tc>
        <w:tc>
          <w:tcPr>
            <w:tcW w:w="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3380" w:type="dxa"/>
            <w:vAlign w:val="bottom"/>
          </w:tcPr>
          <w:p>
            <w:pPr>
              <w:ind w:left="120"/>
              <w:spacing w:after="0"/>
              <w:rPr>
                <w:sz w:val="20"/>
                <w:szCs w:val="20"/>
                <w:color w:val="auto"/>
              </w:rPr>
            </w:pPr>
            <w:r>
              <w:rPr>
                <w:rFonts w:ascii="Arial" w:cs="Arial" w:eastAsia="Arial" w:hAnsi="Arial"/>
                <w:sz w:val="13"/>
                <w:szCs w:val="13"/>
                <w:color w:val="auto"/>
              </w:rPr>
              <w:t>improvements</w:t>
            </w:r>
          </w:p>
        </w:tc>
        <w:tc>
          <w:tcPr>
            <w:tcW w:w="60" w:type="dxa"/>
            <w:vAlign w:val="bottom"/>
          </w:tcPr>
          <w:p>
            <w:pPr>
              <w:spacing w:after="0"/>
              <w:rPr>
                <w:sz w:val="13"/>
                <w:szCs w:val="13"/>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3"/>
                <w:szCs w:val="13"/>
                <w:color w:val="auto"/>
              </w:rPr>
              <w:t>(691)</w:t>
            </w:r>
          </w:p>
        </w:tc>
        <w:tc>
          <w:tcPr>
            <w:tcW w:w="6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(819)</w:t>
            </w: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(854)</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80" w:type="dxa"/>
            <w:vAlign w:val="bottom"/>
          </w:tcPr>
          <w:p>
            <w:pPr>
              <w:jc w:val="right"/>
              <w:spacing w:after="0"/>
              <w:rPr>
                <w:sz w:val="20"/>
                <w:szCs w:val="20"/>
                <w:color w:val="auto"/>
              </w:rPr>
            </w:pPr>
            <w:r>
              <w:rPr>
                <w:rFonts w:ascii="Arial" w:cs="Arial" w:eastAsia="Arial" w:hAnsi="Arial"/>
                <w:sz w:val="13"/>
                <w:szCs w:val="13"/>
                <w:color w:val="auto"/>
              </w:rPr>
              <w:t>128</w:t>
            </w:r>
          </w:p>
        </w:tc>
        <w:tc>
          <w:tcPr>
            <w:tcW w:w="2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16</w:t>
            </w:r>
          </w:p>
        </w:tc>
        <w:tc>
          <w:tcPr>
            <w:tcW w:w="2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jc w:val="right"/>
              <w:spacing w:after="0"/>
              <w:rPr>
                <w:sz w:val="20"/>
                <w:szCs w:val="20"/>
                <w:color w:val="auto"/>
              </w:rPr>
            </w:pPr>
            <w:r>
              <w:rPr>
                <w:rFonts w:ascii="Arial" w:cs="Arial" w:eastAsia="Arial" w:hAnsi="Arial"/>
                <w:sz w:val="13"/>
                <w:szCs w:val="13"/>
                <w:color w:val="auto"/>
              </w:rPr>
              <w:t>163</w:t>
            </w:r>
          </w:p>
        </w:tc>
        <w:tc>
          <w:tcPr>
            <w:tcW w:w="220" w:type="dxa"/>
            <w:vAlign w:val="bottom"/>
          </w:tcPr>
          <w:p>
            <w:pPr>
              <w:spacing w:after="0"/>
              <w:rPr>
                <w:sz w:val="13"/>
                <w:szCs w:val="13"/>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19</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ind w:left="120"/>
              <w:spacing w:after="0" w:line="134" w:lineRule="exact"/>
              <w:rPr>
                <w:sz w:val="20"/>
                <w:szCs w:val="20"/>
                <w:color w:val="auto"/>
              </w:rPr>
            </w:pPr>
            <w:r>
              <w:rPr>
                <w:rFonts w:ascii="Arial" w:cs="Arial" w:eastAsia="Arial" w:hAnsi="Arial"/>
                <w:sz w:val="13"/>
                <w:szCs w:val="13"/>
                <w:color w:val="auto"/>
              </w:rPr>
              <w:t>Amortization of intangible assets</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(253)</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(271)</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(186)</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18</w:t>
            </w: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7</w:t>
            </w: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(67)</w:t>
            </w: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(36)</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ind w:left="120"/>
              <w:spacing w:after="0" w:line="134" w:lineRule="exact"/>
              <w:rPr>
                <w:sz w:val="20"/>
                <w:szCs w:val="20"/>
                <w:color w:val="auto"/>
              </w:rPr>
            </w:pPr>
            <w:r>
              <w:rPr>
                <w:rFonts w:ascii="Arial" w:cs="Arial" w:eastAsia="Arial" w:hAnsi="Arial"/>
                <w:sz w:val="13"/>
                <w:szCs w:val="13"/>
                <w:color w:val="auto"/>
              </w:rPr>
              <w:t>Other expenses</w:t>
            </w:r>
          </w:p>
        </w:tc>
        <w:tc>
          <w:tcPr>
            <w:tcW w:w="60" w:type="dxa"/>
            <w:vAlign w:val="bottom"/>
          </w:tcPr>
          <w:p>
            <w:pPr>
              <w:spacing w:after="0"/>
              <w:rPr>
                <w:sz w:val="11"/>
                <w:szCs w:val="11"/>
                <w:color w:val="auto"/>
              </w:rPr>
            </w:pPr>
          </w:p>
        </w:tc>
        <w:tc>
          <w:tcPr>
            <w:tcW w:w="106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(3,815)</w:t>
            </w:r>
          </w:p>
        </w:tc>
        <w:tc>
          <w:tcPr>
            <w:tcW w:w="60" w:type="dxa"/>
            <w:vAlign w:val="bottom"/>
          </w:tcPr>
          <w:p>
            <w:pPr>
              <w:spacing w:after="0"/>
              <w:rPr>
                <w:sz w:val="11"/>
                <w:szCs w:val="11"/>
                <w:color w:val="auto"/>
              </w:rPr>
            </w:pPr>
          </w:p>
        </w:tc>
        <w:tc>
          <w:tcPr>
            <w:tcW w:w="110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(2,607)</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(3,054)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(1,208)</w:t>
            </w: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(46)</w:t>
            </w:r>
          </w:p>
        </w:tc>
        <w:tc>
          <w:tcPr>
            <w:tcW w:w="100" w:type="dxa"/>
            <w:vAlign w:val="bottom"/>
          </w:tcPr>
          <w:p>
            <w:pPr>
              <w:spacing w:after="0"/>
              <w:rPr>
                <w:sz w:val="11"/>
                <w:szCs w:val="11"/>
                <w:color w:val="auto"/>
              </w:rPr>
            </w:pPr>
          </w:p>
        </w:tc>
        <w:tc>
          <w:tcPr>
            <w:tcW w:w="10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(761)</w:t>
            </w:r>
          </w:p>
        </w:tc>
        <w:tc>
          <w:tcPr>
            <w:tcW w:w="106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33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3"/>
                <w:szCs w:val="13"/>
                <w:b w:val="1"/>
                <w:bCs w:val="1"/>
                <w:color w:val="auto"/>
              </w:rPr>
              <w:t>Total operating expenses</w:t>
            </w: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8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(10,122)</w:t>
            </w:r>
          </w:p>
        </w:tc>
        <w:tc>
          <w:tcPr>
            <w:tcW w:w="2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9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(9,145)</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bottom w:val="single" w:sz="8" w:color="auto"/>
            </w:tcBorders>
            <w:shd w:val="clear" w:color="auto" w:fill="CCEEFF"/>
          </w:tcPr>
          <w:p>
            <w:pPr>
              <w:spacing w:after="0"/>
              <w:rPr>
                <w:sz w:val="10"/>
                <w:szCs w:val="10"/>
                <w:color w:val="auto"/>
              </w:rPr>
            </w:pPr>
          </w:p>
        </w:tc>
        <w:tc>
          <w:tcPr>
            <w:tcW w:w="82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(8,266)</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(977)</w:t>
            </w:r>
          </w:p>
        </w:tc>
        <w:tc>
          <w:tcPr>
            <w:tcW w:w="220" w:type="dxa"/>
            <w:vAlign w:val="bottom"/>
            <w:tcBorders>
              <w:top w:val="single" w:sz="8" w:color="CCEEFF"/>
            </w:tcBorders>
            <w:shd w:val="clear" w:color="auto" w:fill="CCEEFF"/>
          </w:tcPr>
          <w:p>
            <w:pPr>
              <w:spacing w:after="0"/>
              <w:rPr>
                <w:sz w:val="10"/>
                <w:szCs w:val="10"/>
                <w:color w:val="auto"/>
              </w:rPr>
            </w:pPr>
          </w:p>
        </w:tc>
        <w:tc>
          <w:tcPr>
            <w:tcW w:w="1140" w:type="dxa"/>
            <w:vAlign w:val="bottom"/>
            <w:tcBorders>
              <w:top w:val="single" w:sz="8" w:color="CCEEFF"/>
            </w:tcBorders>
            <w:gridSpan w:val="2"/>
            <w:shd w:val="clear" w:color="auto" w:fill="CCEEFF"/>
          </w:tcPr>
          <w:p>
            <w:pPr>
              <w:jc w:val="right"/>
              <w:ind w:right="220"/>
              <w:spacing w:after="0" w:line="127" w:lineRule="exact"/>
              <w:rPr>
                <w:sz w:val="20"/>
                <w:szCs w:val="20"/>
                <w:color w:val="auto"/>
              </w:rPr>
            </w:pPr>
            <w:r>
              <w:rPr>
                <w:rFonts w:ascii="Arial" w:cs="Arial" w:eastAsia="Arial" w:hAnsi="Arial"/>
                <w:sz w:val="13"/>
                <w:szCs w:val="13"/>
                <w:color w:val="auto"/>
              </w:rPr>
              <w:t>(11)</w:t>
            </w:r>
          </w:p>
        </w:tc>
        <w:tc>
          <w:tcPr>
            <w:tcW w:w="100" w:type="dxa"/>
            <w:vAlign w:val="bottom"/>
            <w:tcBorders>
              <w:top w:val="single" w:sz="8" w:color="auto"/>
              <w:bottom w:val="single" w:sz="8" w:color="auto"/>
            </w:tcBorders>
            <w:shd w:val="clear" w:color="auto" w:fill="CCEEFF"/>
          </w:tcPr>
          <w:p>
            <w:pPr>
              <w:spacing w:after="0"/>
              <w:rPr>
                <w:sz w:val="10"/>
                <w:szCs w:val="10"/>
                <w:color w:val="auto"/>
              </w:rPr>
            </w:pPr>
          </w:p>
        </w:tc>
        <w:tc>
          <w:tcPr>
            <w:tcW w:w="7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3"/>
                <w:szCs w:val="13"/>
                <w:color w:val="auto"/>
              </w:rPr>
              <w:t>(1,856)</w:t>
            </w:r>
          </w:p>
        </w:tc>
        <w:tc>
          <w:tcPr>
            <w:tcW w:w="220" w:type="dxa"/>
            <w:vAlign w:val="bottom"/>
            <w:tcBorders>
              <w:top w:val="single" w:sz="8" w:color="CCEEFF"/>
            </w:tcBorders>
            <w:shd w:val="clear" w:color="auto" w:fill="CCEEFF"/>
          </w:tcPr>
          <w:p>
            <w:pPr>
              <w:spacing w:after="0"/>
              <w:rPr>
                <w:sz w:val="10"/>
                <w:szCs w:val="10"/>
                <w:color w:val="auto"/>
              </w:rPr>
            </w:pPr>
          </w:p>
        </w:tc>
        <w:tc>
          <w:tcPr>
            <w:tcW w:w="1060" w:type="dxa"/>
            <w:vAlign w:val="bottom"/>
            <w:tcBorders>
              <w:top w:val="single" w:sz="8" w:color="CCEEFF"/>
            </w:tcBorders>
            <w:gridSpan w:val="2"/>
            <w:shd w:val="clear" w:color="auto" w:fill="CCEEFF"/>
          </w:tcPr>
          <w:p>
            <w:pPr>
              <w:jc w:val="right"/>
              <w:ind w:right="120"/>
              <w:spacing w:after="0" w:line="127" w:lineRule="exact"/>
              <w:rPr>
                <w:sz w:val="20"/>
                <w:szCs w:val="20"/>
                <w:color w:val="auto"/>
              </w:rPr>
            </w:pPr>
            <w:r>
              <w:rPr>
                <w:rFonts w:ascii="Arial" w:cs="Arial" w:eastAsia="Arial" w:hAnsi="Arial"/>
                <w:sz w:val="13"/>
                <w:szCs w:val="13"/>
                <w:color w:val="auto"/>
              </w:rPr>
              <w:t>(22)</w:t>
            </w: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3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b w:val="1"/>
                <w:bCs w:val="1"/>
                <w:color w:val="auto"/>
              </w:rPr>
              <w:t>Profit for the period</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14,084</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12,816</w:t>
            </w:r>
          </w:p>
        </w:tc>
        <w:tc>
          <w:tcPr>
            <w:tcW w:w="12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14,106</w:t>
            </w:r>
          </w:p>
        </w:tc>
        <w:tc>
          <w:tcPr>
            <w:tcW w:w="1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1,268</w:t>
            </w:r>
          </w:p>
        </w:tc>
        <w:tc>
          <w:tcPr>
            <w:tcW w:w="114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3"/>
                <w:szCs w:val="13"/>
                <w:color w:val="auto"/>
              </w:rPr>
              <w:t>10%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3"/>
                <w:szCs w:val="13"/>
                <w:color w:val="auto"/>
              </w:rPr>
              <w:t>(22)</w:t>
            </w:r>
          </w:p>
        </w:tc>
        <w:tc>
          <w:tcPr>
            <w:tcW w:w="106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1"/>
        </w:trPr>
        <w:tc>
          <w:tcPr>
            <w:tcW w:w="20" w:type="dxa"/>
            <w:vAlign w:val="bottom"/>
            <w:vMerge w:val="restart"/>
          </w:tcPr>
          <w:p>
            <w:pPr>
              <w:spacing w:after="0"/>
              <w:rPr>
                <w:sz w:val="9"/>
                <w:szCs w:val="9"/>
                <w:color w:val="auto"/>
              </w:rPr>
            </w:pPr>
          </w:p>
        </w:tc>
        <w:tc>
          <w:tcPr>
            <w:tcW w:w="3380" w:type="dxa"/>
            <w:vAlign w:val="bottom"/>
          </w:tcPr>
          <w:p>
            <w:pPr>
              <w:spacing w:after="0"/>
              <w:rPr>
                <w:sz w:val="9"/>
                <w:szCs w:val="9"/>
                <w:color w:val="auto"/>
              </w:rPr>
            </w:pPr>
          </w:p>
        </w:tc>
        <w:tc>
          <w:tcPr>
            <w:tcW w:w="60" w:type="dxa"/>
            <w:vAlign w:val="bottom"/>
          </w:tcPr>
          <w:p>
            <w:pPr>
              <w:spacing w:after="0"/>
              <w:rPr>
                <w:sz w:val="9"/>
                <w:szCs w:val="9"/>
                <w:color w:val="auto"/>
              </w:rPr>
            </w:pPr>
          </w:p>
        </w:tc>
        <w:tc>
          <w:tcPr>
            <w:tcW w:w="8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9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82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80" w:type="dxa"/>
            <w:vAlign w:val="bottom"/>
          </w:tcPr>
          <w:p>
            <w:pPr>
              <w:spacing w:after="0"/>
              <w:rPr>
                <w:sz w:val="9"/>
                <w:szCs w:val="9"/>
                <w:color w:val="auto"/>
              </w:rPr>
            </w:pPr>
          </w:p>
        </w:tc>
        <w:tc>
          <w:tcPr>
            <w:tcW w:w="2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220" w:type="dxa"/>
            <w:vAlign w:val="bottom"/>
          </w:tcPr>
          <w:p>
            <w:pPr>
              <w:spacing w:after="0"/>
              <w:rPr>
                <w:sz w:val="9"/>
                <w:szCs w:val="9"/>
                <w:color w:val="auto"/>
              </w:rPr>
            </w:pPr>
          </w:p>
        </w:tc>
        <w:tc>
          <w:tcPr>
            <w:tcW w:w="900" w:type="dxa"/>
            <w:vAlign w:val="bottom"/>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PER COMMON SHARE DATA:</w:t>
            </w:r>
          </w:p>
        </w:tc>
        <w:tc>
          <w:tcPr>
            <w:tcW w:w="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Basic earnings per share</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0.36</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0.32</w:t>
            </w:r>
          </w:p>
        </w:tc>
        <w:tc>
          <w:tcPr>
            <w:tcW w:w="12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0.36</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Diluted earnings per share</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0.36</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0.32</w:t>
            </w:r>
          </w:p>
        </w:tc>
        <w:tc>
          <w:tcPr>
            <w:tcW w:w="12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0.36</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Book value (period average)</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26.17</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26.26</w:t>
            </w:r>
          </w:p>
        </w:tc>
        <w:tc>
          <w:tcPr>
            <w:tcW w:w="120" w:type="dxa"/>
            <w:vAlign w:val="bottom"/>
            <w:gridSpan w:val="2"/>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25.94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Book value (period end)</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26.19</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26.11</w:t>
            </w:r>
          </w:p>
        </w:tc>
        <w:tc>
          <w:tcPr>
            <w:tcW w:w="12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25.76</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33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Weighted average basic shares</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39,659</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39,693</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39,654</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Weighted average diluted shares</w:t>
            </w:r>
          </w:p>
        </w:tc>
        <w:tc>
          <w:tcPr>
            <w:tcW w:w="60" w:type="dxa"/>
            <w:vAlign w:val="bottom"/>
          </w:tcPr>
          <w:p>
            <w:pPr>
              <w:spacing w:after="0"/>
              <w:rPr>
                <w:sz w:val="11"/>
                <w:szCs w:val="11"/>
                <w:color w:val="auto"/>
              </w:rPr>
            </w:pPr>
          </w:p>
        </w:tc>
        <w:tc>
          <w:tcPr>
            <w:tcW w:w="106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39,659</w:t>
            </w:r>
          </w:p>
        </w:tc>
        <w:tc>
          <w:tcPr>
            <w:tcW w:w="60" w:type="dxa"/>
            <w:vAlign w:val="bottom"/>
          </w:tcPr>
          <w:p>
            <w:pPr>
              <w:spacing w:after="0"/>
              <w:rPr>
                <w:sz w:val="11"/>
                <w:szCs w:val="11"/>
                <w:color w:val="auto"/>
              </w:rPr>
            </w:pPr>
          </w:p>
        </w:tc>
        <w:tc>
          <w:tcPr>
            <w:tcW w:w="110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39,693</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39,654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Basic shares period end</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39,361</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39,703</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39,672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33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PERFORMANCE RATIOS:</w:t>
            </w:r>
          </w:p>
        </w:tc>
        <w:tc>
          <w:tcPr>
            <w:tcW w:w="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Return on average assets</w:t>
            </w:r>
          </w:p>
        </w:tc>
        <w:tc>
          <w:tcPr>
            <w:tcW w:w="60" w:type="dxa"/>
            <w:vAlign w:val="bottom"/>
          </w:tcPr>
          <w:p>
            <w:pPr>
              <w:spacing w:after="0"/>
              <w:rPr>
                <w:sz w:val="11"/>
                <w:szCs w:val="11"/>
                <w:color w:val="auto"/>
              </w:rPr>
            </w:pPr>
          </w:p>
        </w:tc>
        <w:tc>
          <w:tcPr>
            <w:tcW w:w="106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0.8%</w:t>
            </w:r>
          </w:p>
        </w:tc>
        <w:tc>
          <w:tcPr>
            <w:tcW w:w="60" w:type="dxa"/>
            <w:vAlign w:val="bottom"/>
          </w:tcPr>
          <w:p>
            <w:pPr>
              <w:spacing w:after="0"/>
              <w:rPr>
                <w:sz w:val="11"/>
                <w:szCs w:val="11"/>
                <w:color w:val="auto"/>
              </w:rPr>
            </w:pPr>
          </w:p>
        </w:tc>
        <w:tc>
          <w:tcPr>
            <w:tcW w:w="110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0.8%</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40"/>
              <w:spacing w:after="0" w:line="134" w:lineRule="exact"/>
              <w:rPr>
                <w:sz w:val="20"/>
                <w:szCs w:val="20"/>
                <w:color w:val="auto"/>
              </w:rPr>
            </w:pPr>
            <w:r>
              <w:rPr>
                <w:rFonts w:ascii="Arial" w:cs="Arial" w:eastAsia="Arial" w:hAnsi="Arial"/>
                <w:sz w:val="13"/>
                <w:szCs w:val="13"/>
                <w:color w:val="auto"/>
              </w:rPr>
              <w:t>0.8%</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Return on average equity</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5.4%</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5.0%</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3"/>
                <w:szCs w:val="13"/>
                <w:color w:val="auto"/>
              </w:rPr>
              <w:t>5.5%</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Net interest margin</w:t>
            </w:r>
          </w:p>
        </w:tc>
        <w:tc>
          <w:tcPr>
            <w:tcW w:w="60" w:type="dxa"/>
            <w:vAlign w:val="bottom"/>
          </w:tcPr>
          <w:p>
            <w:pPr>
              <w:spacing w:after="0"/>
              <w:rPr>
                <w:sz w:val="11"/>
                <w:szCs w:val="11"/>
                <w:color w:val="auto"/>
              </w:rPr>
            </w:pPr>
          </w:p>
        </w:tc>
        <w:tc>
          <w:tcPr>
            <w:tcW w:w="106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1.27%</w:t>
            </w:r>
          </w:p>
        </w:tc>
        <w:tc>
          <w:tcPr>
            <w:tcW w:w="60" w:type="dxa"/>
            <w:vAlign w:val="bottom"/>
          </w:tcPr>
          <w:p>
            <w:pPr>
              <w:spacing w:after="0"/>
              <w:rPr>
                <w:sz w:val="11"/>
                <w:szCs w:val="11"/>
                <w:color w:val="auto"/>
              </w:rPr>
            </w:pPr>
          </w:p>
        </w:tc>
        <w:tc>
          <w:tcPr>
            <w:tcW w:w="110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1.24%</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40"/>
              <w:spacing w:after="0" w:line="134" w:lineRule="exact"/>
              <w:rPr>
                <w:sz w:val="20"/>
                <w:szCs w:val="20"/>
                <w:color w:val="auto"/>
              </w:rPr>
            </w:pPr>
            <w:r>
              <w:rPr>
                <w:rFonts w:ascii="Arial" w:cs="Arial" w:eastAsia="Arial" w:hAnsi="Arial"/>
                <w:sz w:val="13"/>
                <w:szCs w:val="13"/>
                <w:color w:val="auto"/>
              </w:rPr>
              <w:t>1.28%</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Net interest spread</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1.11%</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1.04%</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3"/>
                <w:szCs w:val="13"/>
                <w:color w:val="auto"/>
              </w:rPr>
              <w:t>1.01%</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line="134" w:lineRule="exact"/>
              <w:rPr>
                <w:sz w:val="20"/>
                <w:szCs w:val="20"/>
                <w:color w:val="auto"/>
              </w:rPr>
            </w:pPr>
            <w:r>
              <w:rPr>
                <w:rFonts w:ascii="Arial" w:cs="Arial" w:eastAsia="Arial" w:hAnsi="Arial"/>
                <w:sz w:val="13"/>
                <w:szCs w:val="13"/>
                <w:color w:val="auto"/>
              </w:rPr>
              <w:t>Efficiency Ratio</w:t>
            </w:r>
          </w:p>
        </w:tc>
        <w:tc>
          <w:tcPr>
            <w:tcW w:w="60" w:type="dxa"/>
            <w:vAlign w:val="bottom"/>
          </w:tcPr>
          <w:p>
            <w:pPr>
              <w:spacing w:after="0"/>
              <w:rPr>
                <w:sz w:val="11"/>
                <w:szCs w:val="11"/>
                <w:color w:val="auto"/>
              </w:rPr>
            </w:pPr>
          </w:p>
        </w:tc>
        <w:tc>
          <w:tcPr>
            <w:tcW w:w="106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39.6%</w:t>
            </w:r>
          </w:p>
        </w:tc>
        <w:tc>
          <w:tcPr>
            <w:tcW w:w="60" w:type="dxa"/>
            <w:vAlign w:val="bottom"/>
          </w:tcPr>
          <w:p>
            <w:pPr>
              <w:spacing w:after="0"/>
              <w:rPr>
                <w:sz w:val="11"/>
                <w:szCs w:val="11"/>
                <w:color w:val="auto"/>
              </w:rPr>
            </w:pPr>
          </w:p>
        </w:tc>
        <w:tc>
          <w:tcPr>
            <w:tcW w:w="110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41.6%</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2"/>
          </w:tcPr>
          <w:p>
            <w:pPr>
              <w:jc w:val="right"/>
              <w:ind w:right="40"/>
              <w:spacing w:after="0" w:line="134" w:lineRule="exact"/>
              <w:rPr>
                <w:sz w:val="20"/>
                <w:szCs w:val="20"/>
                <w:color w:val="auto"/>
              </w:rPr>
            </w:pPr>
            <w:r>
              <w:rPr>
                <w:rFonts w:ascii="Arial" w:cs="Arial" w:eastAsia="Arial" w:hAnsi="Arial"/>
                <w:sz w:val="13"/>
                <w:szCs w:val="13"/>
                <w:color w:val="auto"/>
              </w:rPr>
              <w:t>41.5%</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Operating expenses to total average assets</w:t>
            </w:r>
          </w:p>
        </w:tc>
        <w:tc>
          <w:tcPr>
            <w:tcW w:w="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0.60%</w:t>
            </w:r>
          </w:p>
        </w:tc>
        <w:tc>
          <w:tcPr>
            <w:tcW w:w="6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0.59%</w:t>
            </w: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3"/>
                <w:szCs w:val="13"/>
                <w:color w:val="auto"/>
              </w:rPr>
              <w:t>0.48%</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255905</wp:posOffset>
            </wp:positionV>
            <wp:extent cx="1790065" cy="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21"/>
          <w:szCs w:val="21"/>
          <w:color w:val="auto"/>
          <w:vertAlign w:val="superscript"/>
        </w:rPr>
        <w:t>(*)</w:t>
      </w:r>
      <w:r>
        <w:rPr>
          <w:rFonts w:ascii="Arial" w:cs="Arial" w:eastAsia="Arial" w:hAnsi="Arial"/>
          <w:sz w:val="13"/>
          <w:szCs w:val="13"/>
          <w:color w:val="auto"/>
        </w:rPr>
        <w:t xml:space="preserve"> "n.m." means not meaningful.</w:t>
      </w:r>
    </w:p>
    <w:p>
      <w:pPr>
        <w:spacing w:after="0" w:line="339"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22860</wp:posOffset>
            </wp:positionV>
            <wp:extent cx="7145655" cy="762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right"/>
        <w:spacing w:after="0"/>
        <w:rPr>
          <w:sz w:val="20"/>
          <w:szCs w:val="20"/>
          <w:color w:val="auto"/>
        </w:rPr>
      </w:pPr>
      <w:r>
        <w:rPr>
          <w:rFonts w:ascii="Arial" w:cs="Arial" w:eastAsia="Arial" w:hAnsi="Arial"/>
          <w:sz w:val="16"/>
          <w:szCs w:val="16"/>
          <w:color w:val="auto"/>
        </w:rPr>
        <w:t>EXHIBIT III</w:t>
      </w:r>
    </w:p>
    <w:p>
      <w:pPr>
        <w:spacing w:after="0" w:line="207" w:lineRule="exact"/>
        <w:rPr>
          <w:sz w:val="20"/>
          <w:szCs w:val="20"/>
          <w:color w:val="auto"/>
        </w:rPr>
      </w:pPr>
    </w:p>
    <w:p>
      <w:pPr>
        <w:jc w:val="center"/>
        <w:ind w:right="20"/>
        <w:spacing w:after="0"/>
        <w:rPr>
          <w:sz w:val="20"/>
          <w:szCs w:val="20"/>
          <w:color w:val="auto"/>
        </w:rPr>
      </w:pPr>
      <w:r>
        <w:rPr>
          <w:rFonts w:ascii="Arial" w:cs="Arial" w:eastAsia="Arial" w:hAnsi="Arial"/>
          <w:sz w:val="16"/>
          <w:szCs w:val="16"/>
          <w:color w:val="auto"/>
        </w:rPr>
        <w:t>CONSOLIDATED STATEMENTS OF PROFIT OR LOSS</w:t>
      </w:r>
    </w:p>
    <w:p>
      <w:pPr>
        <w:spacing w:after="0" w:line="23" w:lineRule="exact"/>
        <w:rPr>
          <w:sz w:val="20"/>
          <w:szCs w:val="20"/>
          <w:color w:val="auto"/>
        </w:rPr>
      </w:pPr>
    </w:p>
    <w:p>
      <w:pPr>
        <w:jc w:val="center"/>
        <w:ind w:right="20"/>
        <w:spacing w:after="0"/>
        <w:rPr>
          <w:sz w:val="20"/>
          <w:szCs w:val="20"/>
          <w:color w:val="auto"/>
        </w:rPr>
      </w:pPr>
      <w:r>
        <w:rPr>
          <w:rFonts w:ascii="Arial" w:cs="Arial" w:eastAsia="Arial" w:hAnsi="Arial"/>
          <w:sz w:val="16"/>
          <w:szCs w:val="16"/>
          <w:color w:val="auto"/>
        </w:rPr>
        <w:t>(In US$ thousand, except per share amounts and ratios)</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54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780" w:type="dxa"/>
            <w:vAlign w:val="bottom"/>
            <w:gridSpan w:val="6"/>
          </w:tcPr>
          <w:p>
            <w:pPr>
              <w:jc w:val="right"/>
              <w:ind w:right="319"/>
              <w:spacing w:after="0"/>
              <w:rPr>
                <w:sz w:val="20"/>
                <w:szCs w:val="20"/>
                <w:color w:val="auto"/>
              </w:rPr>
            </w:pPr>
            <w:r>
              <w:rPr>
                <w:rFonts w:ascii="Arial" w:cs="Arial" w:eastAsia="Arial" w:hAnsi="Arial"/>
                <w:sz w:val="16"/>
                <w:szCs w:val="16"/>
                <w:color w:val="auto"/>
              </w:rPr>
              <w:t>FOR THE SIX MONTHS ENDED</w:t>
            </w: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540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gridSpan w:val="2"/>
          </w:tcPr>
          <w:p>
            <w:pPr>
              <w:jc w:val="right"/>
              <w:ind w:right="619"/>
              <w:spacing w:after="0"/>
              <w:rPr>
                <w:sz w:val="20"/>
                <w:szCs w:val="20"/>
                <w:color w:val="auto"/>
              </w:rPr>
            </w:pPr>
            <w:r>
              <w:rPr>
                <w:rFonts w:ascii="Arial" w:cs="Arial" w:eastAsia="Arial" w:hAnsi="Arial"/>
                <w:sz w:val="16"/>
                <w:szCs w:val="16"/>
                <w:color w:val="auto"/>
              </w:rPr>
              <w:t>(A)</w:t>
            </w:r>
          </w:p>
        </w:tc>
        <w:tc>
          <w:tcPr>
            <w:tcW w:w="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right"/>
              <w:ind w:right="419"/>
              <w:spacing w:after="0"/>
              <w:rPr>
                <w:sz w:val="20"/>
                <w:szCs w:val="20"/>
                <w:color w:val="auto"/>
              </w:rPr>
            </w:pPr>
            <w:r>
              <w:rPr>
                <w:rFonts w:ascii="Arial" w:cs="Arial" w:eastAsia="Arial" w:hAnsi="Arial"/>
                <w:sz w:val="16"/>
                <w:szCs w:val="16"/>
                <w:color w:val="auto"/>
              </w:rPr>
              <w:t>(B)</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519"/>
              <w:spacing w:after="0"/>
              <w:rPr>
                <w:sz w:val="20"/>
                <w:szCs w:val="20"/>
                <w:color w:val="auto"/>
              </w:rPr>
            </w:pPr>
            <w:r>
              <w:rPr>
                <w:rFonts w:ascii="Arial" w:cs="Arial" w:eastAsia="Arial" w:hAnsi="Arial"/>
                <w:sz w:val="16"/>
                <w:szCs w:val="16"/>
                <w:color w:val="auto"/>
              </w:rPr>
              <w:t>(A) - (B)</w:t>
            </w: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54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00" w:type="dxa"/>
            <w:vAlign w:val="bottom"/>
            <w:gridSpan w:val="2"/>
          </w:tcPr>
          <w:p>
            <w:pPr>
              <w:jc w:val="right"/>
              <w:ind w:right="279"/>
              <w:spacing w:after="0"/>
              <w:rPr>
                <w:sz w:val="20"/>
                <w:szCs w:val="20"/>
                <w:color w:val="auto"/>
              </w:rPr>
            </w:pPr>
            <w:r>
              <w:rPr>
                <w:rFonts w:ascii="Arial" w:cs="Arial" w:eastAsia="Arial" w:hAnsi="Arial"/>
                <w:sz w:val="16"/>
                <w:szCs w:val="16"/>
                <w:color w:val="auto"/>
                <w:w w:val="90"/>
              </w:rPr>
              <w:t>June 30, 2021</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00" w:type="dxa"/>
            <w:vAlign w:val="bottom"/>
            <w:gridSpan w:val="2"/>
          </w:tcPr>
          <w:p>
            <w:pPr>
              <w:jc w:val="right"/>
              <w:ind w:right="279"/>
              <w:spacing w:after="0"/>
              <w:rPr>
                <w:sz w:val="20"/>
                <w:szCs w:val="20"/>
                <w:color w:val="auto"/>
              </w:rPr>
            </w:pPr>
            <w:r>
              <w:rPr>
                <w:rFonts w:ascii="Arial" w:cs="Arial" w:eastAsia="Arial" w:hAnsi="Arial"/>
                <w:sz w:val="16"/>
                <w:szCs w:val="16"/>
                <w:color w:val="auto"/>
                <w:w w:val="90"/>
              </w:rPr>
              <w:t>June 30, 2020</w:t>
            </w: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gridSpan w:val="2"/>
          </w:tcPr>
          <w:p>
            <w:pPr>
              <w:jc w:val="right"/>
              <w:ind w:right="459"/>
              <w:spacing w:after="0"/>
              <w:rPr>
                <w:sz w:val="20"/>
                <w:szCs w:val="20"/>
                <w:color w:val="auto"/>
              </w:rPr>
            </w:pPr>
            <w:r>
              <w:rPr>
                <w:rFonts w:ascii="Arial" w:cs="Arial" w:eastAsia="Arial" w:hAnsi="Arial"/>
                <w:sz w:val="16"/>
                <w:szCs w:val="16"/>
                <w:color w:val="auto"/>
              </w:rPr>
              <w:t>CHANGE</w:t>
            </w:r>
          </w:p>
        </w:tc>
        <w:tc>
          <w:tcPr>
            <w:tcW w:w="1220" w:type="dxa"/>
            <w:vAlign w:val="bottom"/>
          </w:tcPr>
          <w:p>
            <w:pPr>
              <w:jc w:val="right"/>
              <w:ind w:right="459"/>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5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Net Interest Income:</w:t>
            </w:r>
          </w:p>
        </w:tc>
        <w:tc>
          <w:tcPr>
            <w:tcW w:w="120" w:type="dxa"/>
            <w:vAlign w:val="bottom"/>
            <w:tcBorders>
              <w:top w:val="single" w:sz="8" w:color="auto"/>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Interest income</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67,082</w:t>
            </w:r>
          </w:p>
        </w:tc>
        <w:tc>
          <w:tcPr>
            <w:tcW w:w="1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103,496</w:t>
            </w:r>
          </w:p>
        </w:tc>
        <w:tc>
          <w:tcPr>
            <w:tcW w:w="24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c>
          <w:tcPr>
            <w:tcW w:w="1280" w:type="dxa"/>
            <w:vAlign w:val="bottom"/>
            <w:gridSpan w:val="2"/>
          </w:tcPr>
          <w:p>
            <w:pPr>
              <w:jc w:val="right"/>
              <w:ind w:right="139"/>
              <w:spacing w:after="0"/>
              <w:rPr>
                <w:sz w:val="20"/>
                <w:szCs w:val="20"/>
                <w:color w:val="auto"/>
              </w:rPr>
            </w:pPr>
            <w:r>
              <w:rPr>
                <w:rFonts w:ascii="Arial" w:cs="Arial" w:eastAsia="Arial" w:hAnsi="Arial"/>
                <w:sz w:val="16"/>
                <w:szCs w:val="16"/>
                <w:color w:val="auto"/>
              </w:rPr>
              <w:t>(36,414)</w:t>
            </w:r>
          </w:p>
        </w:tc>
        <w:tc>
          <w:tcPr>
            <w:tcW w:w="1420" w:type="dxa"/>
            <w:vAlign w:val="bottom"/>
            <w:gridSpan w:val="2"/>
          </w:tcPr>
          <w:p>
            <w:pPr>
              <w:jc w:val="right"/>
              <w:ind w:right="20"/>
              <w:spacing w:after="0"/>
              <w:rPr>
                <w:sz w:val="20"/>
                <w:szCs w:val="20"/>
                <w:color w:val="auto"/>
              </w:rPr>
            </w:pPr>
            <w:r>
              <w:rPr>
                <w:rFonts w:ascii="Arial" w:cs="Arial" w:eastAsia="Arial" w:hAnsi="Arial"/>
                <w:sz w:val="16"/>
                <w:szCs w:val="16"/>
                <w:color w:val="auto"/>
              </w:rPr>
              <w:t>(35)%</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Interest expense</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(27,189)</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(55,973)</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79"/>
              <w:spacing w:after="0"/>
              <w:rPr>
                <w:sz w:val="20"/>
                <w:szCs w:val="20"/>
                <w:color w:val="auto"/>
              </w:rPr>
            </w:pPr>
            <w:r>
              <w:rPr>
                <w:rFonts w:ascii="Arial" w:cs="Arial" w:eastAsia="Arial" w:hAnsi="Arial"/>
                <w:sz w:val="16"/>
                <w:szCs w:val="16"/>
                <w:color w:val="auto"/>
              </w:rPr>
              <w:t>28,784</w:t>
            </w: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w:t>
            </w:r>
          </w:p>
        </w:tc>
        <w:tc>
          <w:tcPr>
            <w:tcW w:w="2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5400" w:type="dxa"/>
            <w:vAlign w:val="bottom"/>
            <w:tcBorders>
              <w:bottom w:val="single" w:sz="8" w:color="CCEEFF"/>
            </w:tcBorders>
          </w:tcPr>
          <w:p>
            <w:pPr>
              <w:spacing w:after="0"/>
              <w:rPr>
                <w:sz w:val="20"/>
                <w:szCs w:val="20"/>
                <w:color w:val="auto"/>
              </w:rPr>
            </w:pPr>
            <w:r>
              <w:rPr>
                <w:rFonts w:ascii="Arial" w:cs="Arial" w:eastAsia="Arial" w:hAnsi="Arial"/>
                <w:sz w:val="16"/>
                <w:szCs w:val="16"/>
                <w:b w:val="1"/>
                <w:bCs w:val="1"/>
                <w:color w:val="auto"/>
              </w:rPr>
              <w:t>Net Interest Income</w:t>
            </w: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39,893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47,523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spacing w:after="0"/>
              <w:rPr>
                <w:sz w:val="16"/>
                <w:szCs w:val="16"/>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(7,630</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14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6"/>
                <w:szCs w:val="16"/>
                <w:color w:val="auto"/>
              </w:rPr>
              <w:t>(16)</w:t>
            </w: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b w:val="1"/>
                <w:bCs w:val="1"/>
                <w:color w:val="auto"/>
              </w:rPr>
              <w:t>Other income (expense):</w:t>
            </w: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Fees and commissions, net</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7,311</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5,013</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179"/>
              <w:spacing w:after="0"/>
              <w:rPr>
                <w:sz w:val="20"/>
                <w:szCs w:val="20"/>
                <w:color w:val="auto"/>
              </w:rPr>
            </w:pPr>
            <w:r>
              <w:rPr>
                <w:rFonts w:ascii="Arial" w:cs="Arial" w:eastAsia="Arial" w:hAnsi="Arial"/>
                <w:sz w:val="16"/>
                <w:szCs w:val="16"/>
                <w:color w:val="auto"/>
              </w:rPr>
              <w:t>2,298</w:t>
            </w: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w:t>
            </w: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Gain (loss) on financial instruments, net</w:t>
            </w: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163</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(4,307)</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179"/>
              <w:spacing w:after="0"/>
              <w:rPr>
                <w:sz w:val="20"/>
                <w:szCs w:val="20"/>
                <w:color w:val="auto"/>
              </w:rPr>
            </w:pPr>
            <w:r>
              <w:rPr>
                <w:rFonts w:ascii="Arial" w:cs="Arial" w:eastAsia="Arial" w:hAnsi="Arial"/>
                <w:sz w:val="16"/>
                <w:szCs w:val="16"/>
                <w:color w:val="auto"/>
              </w:rPr>
              <w:t>4,470</w:t>
            </w:r>
          </w:p>
        </w:tc>
        <w:tc>
          <w:tcPr>
            <w:tcW w:w="1420" w:type="dxa"/>
            <w:vAlign w:val="bottom"/>
            <w:gridSpan w:val="2"/>
          </w:tcPr>
          <w:p>
            <w:pPr>
              <w:jc w:val="right"/>
              <w:ind w:right="200"/>
              <w:spacing w:after="0"/>
              <w:rPr>
                <w:sz w:val="20"/>
                <w:szCs w:val="20"/>
                <w:color w:val="auto"/>
              </w:rPr>
            </w:pPr>
            <w:r>
              <w:rPr>
                <w:rFonts w:ascii="Arial" w:cs="Arial" w:eastAsia="Arial" w:hAnsi="Arial"/>
                <w:sz w:val="16"/>
                <w:szCs w:val="16"/>
                <w:color w:val="auto"/>
              </w:rPr>
              <w:t>104</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Other income, net</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184</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431</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(247)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(57)</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540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Total other income, net</w:t>
            </w: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7,658</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1,137</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spacing w:after="0"/>
              <w:rPr>
                <w:sz w:val="16"/>
                <w:szCs w:val="16"/>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6,521</w:t>
            </w:r>
          </w:p>
        </w:tc>
        <w:tc>
          <w:tcPr>
            <w:tcW w:w="220" w:type="dxa"/>
            <w:vAlign w:val="bottom"/>
            <w:tcBorders>
              <w:bottom w:val="single" w:sz="8" w:color="CCEEFF"/>
            </w:tcBorders>
          </w:tcPr>
          <w:p>
            <w:pPr>
              <w:spacing w:after="0"/>
              <w:rPr>
                <w:sz w:val="16"/>
                <w:szCs w:val="16"/>
                <w:color w:val="auto"/>
              </w:rPr>
            </w:pPr>
          </w:p>
        </w:tc>
        <w:tc>
          <w:tcPr>
            <w:tcW w:w="1420" w:type="dxa"/>
            <w:vAlign w:val="bottom"/>
            <w:tcBorders>
              <w:bottom w:val="single" w:sz="8" w:color="CCEEFF"/>
            </w:tcBorders>
            <w:gridSpan w:val="2"/>
          </w:tcPr>
          <w:p>
            <w:pPr>
              <w:jc w:val="right"/>
              <w:ind w:right="200"/>
              <w:spacing w:after="0"/>
              <w:rPr>
                <w:sz w:val="20"/>
                <w:szCs w:val="20"/>
                <w:color w:val="auto"/>
              </w:rPr>
            </w:pPr>
            <w:r>
              <w:rPr>
                <w:rFonts w:ascii="Arial" w:cs="Arial" w:eastAsia="Arial" w:hAnsi="Arial"/>
                <w:sz w:val="16"/>
                <w:szCs w:val="16"/>
                <w:color w:val="auto"/>
              </w:rPr>
              <w:t>574</w:t>
            </w: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b w:val="1"/>
                <w:bCs w:val="1"/>
                <w:color w:val="auto"/>
              </w:rPr>
              <w:t>Total revenues</w:t>
            </w: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47,551</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48,660</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139"/>
              <w:spacing w:after="0"/>
              <w:rPr>
                <w:sz w:val="20"/>
                <w:szCs w:val="20"/>
                <w:color w:val="auto"/>
              </w:rPr>
            </w:pPr>
            <w:r>
              <w:rPr>
                <w:rFonts w:ascii="Arial" w:cs="Arial" w:eastAsia="Arial" w:hAnsi="Arial"/>
                <w:sz w:val="16"/>
                <w:szCs w:val="16"/>
                <w:color w:val="auto"/>
              </w:rPr>
              <w:t>(1,109)</w:t>
            </w:r>
          </w:p>
        </w:tc>
        <w:tc>
          <w:tcPr>
            <w:tcW w:w="1420" w:type="dxa"/>
            <w:vAlign w:val="bottom"/>
            <w:gridSpan w:val="2"/>
          </w:tcPr>
          <w:p>
            <w:pPr>
              <w:jc w:val="right"/>
              <w:ind w:right="160"/>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(Provision) reversal for credit losses</w:t>
            </w: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(1,384)</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2,696</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139"/>
              <w:spacing w:after="0"/>
              <w:rPr>
                <w:sz w:val="20"/>
                <w:szCs w:val="20"/>
                <w:color w:val="auto"/>
              </w:rPr>
            </w:pPr>
            <w:r>
              <w:rPr>
                <w:rFonts w:ascii="Arial" w:cs="Arial" w:eastAsia="Arial" w:hAnsi="Arial"/>
                <w:sz w:val="16"/>
                <w:szCs w:val="16"/>
                <w:color w:val="auto"/>
              </w:rPr>
              <w:t>(4,080)</w:t>
            </w:r>
          </w:p>
        </w:tc>
        <w:tc>
          <w:tcPr>
            <w:tcW w:w="1420" w:type="dxa"/>
            <w:vAlign w:val="bottom"/>
            <w:gridSpan w:val="2"/>
          </w:tcPr>
          <w:p>
            <w:pPr>
              <w:jc w:val="right"/>
              <w:ind w:right="160"/>
              <w:spacing w:after="0"/>
              <w:rPr>
                <w:sz w:val="20"/>
                <w:szCs w:val="20"/>
                <w:color w:val="auto"/>
              </w:rPr>
            </w:pPr>
            <w:r>
              <w:rPr>
                <w:rFonts w:ascii="Arial" w:cs="Arial" w:eastAsia="Arial" w:hAnsi="Arial"/>
                <w:sz w:val="16"/>
                <w:szCs w:val="16"/>
                <w:color w:val="auto"/>
              </w:rPr>
              <w:t>(151)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Gain (loss) on non-financial assets, net</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0</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(140)</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179"/>
              <w:spacing w:after="0"/>
              <w:rPr>
                <w:sz w:val="20"/>
                <w:szCs w:val="20"/>
                <w:color w:val="auto"/>
              </w:rPr>
            </w:pPr>
            <w:r>
              <w:rPr>
                <w:rFonts w:ascii="Arial" w:cs="Arial" w:eastAsia="Arial" w:hAnsi="Arial"/>
                <w:sz w:val="16"/>
                <w:szCs w:val="16"/>
                <w:color w:val="auto"/>
              </w:rPr>
              <w:t>140</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100</w:t>
            </w: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Operating expenses:</w:t>
            </w: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ind w:left="120"/>
              <w:spacing w:after="0"/>
              <w:rPr>
                <w:sz w:val="20"/>
                <w:szCs w:val="20"/>
                <w:color w:val="auto"/>
              </w:rPr>
            </w:pPr>
            <w:r>
              <w:rPr>
                <w:rFonts w:ascii="Arial" w:cs="Arial" w:eastAsia="Arial" w:hAnsi="Arial"/>
                <w:sz w:val="16"/>
                <w:szCs w:val="16"/>
                <w:color w:val="auto"/>
              </w:rPr>
              <w:t>Salaries and other employee expenses</w:t>
            </w: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(10,811)</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(11,178)</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179"/>
              <w:spacing w:after="0"/>
              <w:rPr>
                <w:sz w:val="20"/>
                <w:szCs w:val="20"/>
                <w:color w:val="auto"/>
              </w:rPr>
            </w:pPr>
            <w:r>
              <w:rPr>
                <w:rFonts w:ascii="Arial" w:cs="Arial" w:eastAsia="Arial" w:hAnsi="Arial"/>
                <w:sz w:val="16"/>
                <w:szCs w:val="16"/>
                <w:color w:val="auto"/>
              </w:rPr>
              <w:t>367</w:t>
            </w:r>
          </w:p>
        </w:tc>
        <w:tc>
          <w:tcPr>
            <w:tcW w:w="1420" w:type="dxa"/>
            <w:vAlign w:val="bottom"/>
            <w:gridSpan w:val="2"/>
          </w:tcPr>
          <w:p>
            <w:pPr>
              <w:jc w:val="right"/>
              <w:ind w:right="200"/>
              <w:spacing w:after="0"/>
              <w:rPr>
                <w:sz w:val="20"/>
                <w:szCs w:val="20"/>
                <w:color w:val="auto"/>
              </w:rPr>
            </w:pPr>
            <w:r>
              <w:rPr>
                <w:rFonts w:ascii="Arial" w:cs="Arial" w:eastAsia="Arial" w:hAnsi="Arial"/>
                <w:sz w:val="16"/>
                <w:szCs w:val="16"/>
                <w:color w:val="auto"/>
              </w:rPr>
              <w:t>3</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ind w:left="120"/>
              <w:spacing w:after="0"/>
              <w:rPr>
                <w:sz w:val="20"/>
                <w:szCs w:val="20"/>
                <w:color w:val="auto"/>
              </w:rPr>
            </w:pPr>
            <w:r>
              <w:rPr>
                <w:rFonts w:ascii="Arial" w:cs="Arial" w:eastAsia="Arial" w:hAnsi="Arial"/>
                <w:sz w:val="16"/>
                <w:szCs w:val="16"/>
                <w:color w:val="auto"/>
              </w:rPr>
              <w:t>Depreciation of investment property, equipment and improvements</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(1,510)</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(1,589)</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179"/>
              <w:spacing w:after="0"/>
              <w:rPr>
                <w:sz w:val="20"/>
                <w:szCs w:val="20"/>
                <w:color w:val="auto"/>
              </w:rPr>
            </w:pPr>
            <w:r>
              <w:rPr>
                <w:rFonts w:ascii="Arial" w:cs="Arial" w:eastAsia="Arial" w:hAnsi="Arial"/>
                <w:sz w:val="16"/>
                <w:szCs w:val="16"/>
                <w:color w:val="auto"/>
              </w:rPr>
              <w:t>79</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ind w:left="120"/>
              <w:spacing w:after="0"/>
              <w:rPr>
                <w:sz w:val="20"/>
                <w:szCs w:val="20"/>
                <w:color w:val="auto"/>
              </w:rPr>
            </w:pPr>
            <w:r>
              <w:rPr>
                <w:rFonts w:ascii="Arial" w:cs="Arial" w:eastAsia="Arial" w:hAnsi="Arial"/>
                <w:sz w:val="16"/>
                <w:szCs w:val="16"/>
                <w:color w:val="auto"/>
              </w:rPr>
              <w:t>Amortization of intangible assets</w:t>
            </w: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(524)</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59"/>
              <w:spacing w:after="0"/>
              <w:rPr>
                <w:sz w:val="20"/>
                <w:szCs w:val="20"/>
                <w:color w:val="auto"/>
              </w:rPr>
            </w:pPr>
            <w:r>
              <w:rPr>
                <w:rFonts w:ascii="Arial" w:cs="Arial" w:eastAsia="Arial" w:hAnsi="Arial"/>
                <w:sz w:val="16"/>
                <w:szCs w:val="16"/>
                <w:color w:val="auto"/>
              </w:rPr>
              <w:t>(377)</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139"/>
              <w:spacing w:after="0"/>
              <w:rPr>
                <w:sz w:val="20"/>
                <w:szCs w:val="20"/>
                <w:color w:val="auto"/>
              </w:rPr>
            </w:pPr>
            <w:r>
              <w:rPr>
                <w:rFonts w:ascii="Arial" w:cs="Arial" w:eastAsia="Arial" w:hAnsi="Arial"/>
                <w:sz w:val="16"/>
                <w:szCs w:val="16"/>
                <w:color w:val="auto"/>
              </w:rPr>
              <w:t>(147)</w:t>
            </w:r>
          </w:p>
        </w:tc>
        <w:tc>
          <w:tcPr>
            <w:tcW w:w="1420" w:type="dxa"/>
            <w:vAlign w:val="bottom"/>
            <w:gridSpan w:val="2"/>
          </w:tcPr>
          <w:p>
            <w:pPr>
              <w:jc w:val="right"/>
              <w:ind w:right="160"/>
              <w:spacing w:after="0"/>
              <w:rPr>
                <w:sz w:val="20"/>
                <w:szCs w:val="20"/>
                <w:color w:val="auto"/>
              </w:rPr>
            </w:pPr>
            <w:r>
              <w:rPr>
                <w:rFonts w:ascii="Arial" w:cs="Arial" w:eastAsia="Arial" w:hAnsi="Arial"/>
                <w:sz w:val="16"/>
                <w:szCs w:val="16"/>
                <w:color w:val="auto"/>
              </w:rPr>
              <w:t>(39)</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5400" w:type="dxa"/>
            <w:vAlign w:val="bottom"/>
            <w:shd w:val="clear" w:color="auto" w:fill="CCEEFF"/>
          </w:tcPr>
          <w:p>
            <w:pPr>
              <w:ind w:left="120"/>
              <w:spacing w:after="0"/>
              <w:rPr>
                <w:sz w:val="20"/>
                <w:szCs w:val="20"/>
                <w:color w:val="auto"/>
              </w:rPr>
            </w:pPr>
            <w:r>
              <w:rPr>
                <w:rFonts w:ascii="Arial" w:cs="Arial" w:eastAsia="Arial" w:hAnsi="Arial"/>
                <w:sz w:val="16"/>
                <w:szCs w:val="16"/>
                <w:color w:val="auto"/>
              </w:rPr>
              <w:t>Other expenses</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(6,422)</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59"/>
              <w:spacing w:after="0"/>
              <w:rPr>
                <w:sz w:val="20"/>
                <w:szCs w:val="20"/>
                <w:color w:val="auto"/>
              </w:rPr>
            </w:pPr>
            <w:r>
              <w:rPr>
                <w:rFonts w:ascii="Arial" w:cs="Arial" w:eastAsia="Arial" w:hAnsi="Arial"/>
                <w:sz w:val="16"/>
                <w:szCs w:val="16"/>
                <w:color w:val="auto"/>
              </w:rPr>
              <w:t>(5,664)</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(758)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(13)</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5400" w:type="dxa"/>
            <w:vAlign w:val="bottom"/>
            <w:tcBorders>
              <w:bottom w:val="single" w:sz="8" w:color="CCEEFF"/>
            </w:tcBorders>
          </w:tcPr>
          <w:p>
            <w:pPr>
              <w:spacing w:after="0"/>
              <w:rPr>
                <w:sz w:val="20"/>
                <w:szCs w:val="20"/>
                <w:color w:val="auto"/>
              </w:rPr>
            </w:pPr>
            <w:r>
              <w:rPr>
                <w:rFonts w:ascii="Arial" w:cs="Arial" w:eastAsia="Arial" w:hAnsi="Arial"/>
                <w:sz w:val="16"/>
                <w:szCs w:val="16"/>
                <w:b w:val="1"/>
                <w:bCs w:val="1"/>
                <w:color w:val="auto"/>
              </w:rPr>
              <w:t>Total operating expenses</w:t>
            </w: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(19,267</w:t>
            </w:r>
          </w:p>
        </w:tc>
        <w:tc>
          <w:tcPr>
            <w:tcW w:w="200" w:type="dxa"/>
            <w:vAlign w:val="bottom"/>
            <w:tcBorders>
              <w:bottom w:val="single" w:sz="8" w:color="CCEEFF"/>
            </w:tcBorders>
          </w:tcPr>
          <w:p>
            <w:pPr>
              <w:jc w:val="right"/>
              <w:ind w:right="59"/>
              <w:spacing w:after="0"/>
              <w:rPr>
                <w:sz w:val="20"/>
                <w:szCs w:val="20"/>
                <w:color w:val="auto"/>
              </w:rPr>
            </w:pPr>
            <w:r>
              <w:rPr>
                <w:rFonts w:ascii="Arial" w:cs="Arial" w:eastAsia="Arial" w:hAnsi="Arial"/>
                <w:sz w:val="16"/>
                <w:szCs w:val="16"/>
                <w:color w:val="auto"/>
                <w:w w:val="74"/>
              </w:rPr>
              <w:t>)</w:t>
            </w:r>
          </w:p>
        </w:tc>
        <w:tc>
          <w:tcPr>
            <w:tcW w:w="60" w:type="dxa"/>
            <w:vAlign w:val="bottom"/>
            <w:tcBorders>
              <w:bottom w:val="single" w:sz="8" w:color="CCEEFF"/>
            </w:tcBorders>
          </w:tcPr>
          <w:p>
            <w:pPr>
              <w:spacing w:after="0"/>
              <w:rPr>
                <w:sz w:val="16"/>
                <w:szCs w:val="16"/>
                <w:color w:val="auto"/>
              </w:rPr>
            </w:pPr>
          </w:p>
        </w:tc>
        <w:tc>
          <w:tcPr>
            <w:tcW w:w="120" w:type="dxa"/>
            <w:vAlign w:val="bottom"/>
            <w:tcBorders>
              <w:top w:val="single" w:sz="8" w:color="auto"/>
              <w:bottom w:val="single" w:sz="8" w:color="auto"/>
            </w:tcBorders>
          </w:tcPr>
          <w:p>
            <w:pPr>
              <w:spacing w:after="0"/>
              <w:rPr>
                <w:sz w:val="16"/>
                <w:szCs w:val="16"/>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(18,808</w:t>
            </w:r>
          </w:p>
        </w:tc>
        <w:tc>
          <w:tcPr>
            <w:tcW w:w="200" w:type="dxa"/>
            <w:vAlign w:val="bottom"/>
            <w:tcBorders>
              <w:bottom w:val="single" w:sz="8" w:color="CCEEFF"/>
            </w:tcBorders>
          </w:tcPr>
          <w:p>
            <w:pPr>
              <w:jc w:val="right"/>
              <w:ind w:right="59"/>
              <w:spacing w:after="0"/>
              <w:rPr>
                <w:sz w:val="20"/>
                <w:szCs w:val="20"/>
                <w:color w:val="auto"/>
              </w:rPr>
            </w:pPr>
            <w:r>
              <w:rPr>
                <w:rFonts w:ascii="Arial" w:cs="Arial" w:eastAsia="Arial" w:hAnsi="Arial"/>
                <w:sz w:val="16"/>
                <w:szCs w:val="16"/>
                <w:color w:val="auto"/>
                <w:w w:val="74"/>
              </w:rPr>
              <w:t>)</w:t>
            </w: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spacing w:after="0"/>
              <w:rPr>
                <w:sz w:val="16"/>
                <w:szCs w:val="16"/>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(459</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14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60"/>
        </w:trPr>
        <w:tc>
          <w:tcPr>
            <w:tcW w:w="20" w:type="dxa"/>
            <w:vAlign w:val="bottom"/>
            <w:vMerge w:val="continue"/>
          </w:tcPr>
          <w:p>
            <w:pPr>
              <w:spacing w:after="0"/>
              <w:rPr>
                <w:sz w:val="22"/>
                <w:szCs w:val="22"/>
                <w:color w:val="auto"/>
              </w:rPr>
            </w:pPr>
          </w:p>
        </w:tc>
        <w:tc>
          <w:tcPr>
            <w:tcW w:w="5400" w:type="dxa"/>
            <w:vAlign w:val="bottom"/>
          </w:tcPr>
          <w:p>
            <w:pPr>
              <w:spacing w:after="0"/>
              <w:rPr>
                <w:sz w:val="20"/>
                <w:szCs w:val="20"/>
                <w:color w:val="auto"/>
              </w:rPr>
            </w:pPr>
            <w:r>
              <w:rPr>
                <w:rFonts w:ascii="Arial" w:cs="Arial" w:eastAsia="Arial" w:hAnsi="Arial"/>
                <w:sz w:val="16"/>
                <w:szCs w:val="16"/>
                <w:b w:val="1"/>
                <w:bCs w:val="1"/>
                <w:color w:val="auto"/>
              </w:rPr>
              <w:t>Profit for the period</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26,900</w:t>
            </w:r>
          </w:p>
        </w:tc>
        <w:tc>
          <w:tcPr>
            <w:tcW w:w="1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32,408</w:t>
            </w:r>
          </w:p>
        </w:tc>
        <w:tc>
          <w:tcPr>
            <w:tcW w:w="24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c>
          <w:tcPr>
            <w:tcW w:w="1280" w:type="dxa"/>
            <w:vAlign w:val="bottom"/>
            <w:gridSpan w:val="2"/>
          </w:tcPr>
          <w:p>
            <w:pPr>
              <w:jc w:val="right"/>
              <w:ind w:right="139"/>
              <w:spacing w:after="0"/>
              <w:rPr>
                <w:sz w:val="20"/>
                <w:szCs w:val="20"/>
                <w:color w:val="auto"/>
              </w:rPr>
            </w:pPr>
            <w:r>
              <w:rPr>
                <w:rFonts w:ascii="Arial" w:cs="Arial" w:eastAsia="Arial" w:hAnsi="Arial"/>
                <w:sz w:val="16"/>
                <w:szCs w:val="16"/>
                <w:color w:val="auto"/>
              </w:rPr>
              <w:t>(5,508)</w:t>
            </w:r>
          </w:p>
        </w:tc>
        <w:tc>
          <w:tcPr>
            <w:tcW w:w="1420" w:type="dxa"/>
            <w:vAlign w:val="bottom"/>
            <w:gridSpan w:val="2"/>
          </w:tcPr>
          <w:p>
            <w:pPr>
              <w:jc w:val="right"/>
              <w:ind w:right="20"/>
              <w:spacing w:after="0"/>
              <w:rPr>
                <w:sz w:val="20"/>
                <w:szCs w:val="20"/>
                <w:color w:val="auto"/>
              </w:rPr>
            </w:pPr>
            <w:r>
              <w:rPr>
                <w:rFonts w:ascii="Arial" w:cs="Arial" w:eastAsia="Arial" w:hAnsi="Arial"/>
                <w:sz w:val="16"/>
                <w:szCs w:val="16"/>
                <w:color w:val="auto"/>
              </w:rPr>
              <w:t>(17)%</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540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11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11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auto"/>
            </w:tcBorders>
            <w:shd w:val="clear" w:color="auto" w:fill="CCEEFF"/>
          </w:tcPr>
          <w:p>
            <w:pPr>
              <w:spacing w:after="0"/>
              <w:rPr>
                <w:sz w:val="14"/>
                <w:szCs w:val="14"/>
                <w:color w:val="auto"/>
              </w:rPr>
            </w:pPr>
          </w:p>
        </w:tc>
        <w:tc>
          <w:tcPr>
            <w:tcW w:w="106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PER COMMON SHARE DATA:</w:t>
            </w: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Basic earnings per share</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0.68</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0.82</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Diluted earnings per share</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0.68</w:t>
            </w:r>
          </w:p>
        </w:tc>
        <w:tc>
          <w:tcPr>
            <w:tcW w:w="1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0.82</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Book value (period average)</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26.21</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25.87</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Book value (period end)</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26.19</w:t>
            </w:r>
          </w:p>
        </w:tc>
        <w:tc>
          <w:tcPr>
            <w:tcW w:w="1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25.76</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Weighted average basic shares</w:t>
            </w: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39,676</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39,632</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Weighted average diluted shares</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39,676</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ind w:right="119"/>
              <w:spacing w:after="0"/>
              <w:rPr>
                <w:sz w:val="20"/>
                <w:szCs w:val="20"/>
                <w:color w:val="auto"/>
              </w:rPr>
            </w:pPr>
            <w:r>
              <w:rPr>
                <w:rFonts w:ascii="Arial" w:cs="Arial" w:eastAsia="Arial" w:hAnsi="Arial"/>
                <w:sz w:val="16"/>
                <w:szCs w:val="16"/>
                <w:color w:val="auto"/>
              </w:rPr>
              <w:t>39,632</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Basic shares period end</w:t>
            </w: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39,361</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ind w:right="119"/>
              <w:spacing w:after="0"/>
              <w:rPr>
                <w:sz w:val="20"/>
                <w:szCs w:val="20"/>
                <w:color w:val="auto"/>
              </w:rPr>
            </w:pPr>
            <w:r>
              <w:rPr>
                <w:rFonts w:ascii="Arial" w:cs="Arial" w:eastAsia="Arial" w:hAnsi="Arial"/>
                <w:sz w:val="16"/>
                <w:szCs w:val="16"/>
                <w:color w:val="auto"/>
              </w:rPr>
              <w:t>39,672</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PERFORMANCE RATIOS:</w:t>
            </w: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Return on average assets</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Return on average equity</w:t>
            </w:r>
          </w:p>
        </w:tc>
        <w:tc>
          <w:tcPr>
            <w:tcW w:w="120" w:type="dxa"/>
            <w:vAlign w:val="bottom"/>
          </w:tcPr>
          <w:p>
            <w:pPr>
              <w:spacing w:after="0"/>
              <w:rPr>
                <w:sz w:val="16"/>
                <w:szCs w:val="16"/>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5.2%</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6.4%</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Net interest margin</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1.26%</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1.43%</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Net interest spread</w:t>
            </w:r>
          </w:p>
        </w:tc>
        <w:tc>
          <w:tcPr>
            <w:tcW w:w="120" w:type="dxa"/>
            <w:vAlign w:val="bottom"/>
          </w:tcPr>
          <w:p>
            <w:pPr>
              <w:spacing w:after="0"/>
              <w:rPr>
                <w:sz w:val="16"/>
                <w:szCs w:val="16"/>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1.08%</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1.09%</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6"/>
                <w:szCs w:val="16"/>
                <w:color w:val="auto"/>
              </w:rPr>
              <w:t>Efficiency Ratio</w:t>
            </w: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40.5%</w:t>
            </w: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38.7%</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5400" w:type="dxa"/>
            <w:vAlign w:val="bottom"/>
          </w:tcPr>
          <w:p>
            <w:pPr>
              <w:spacing w:after="0"/>
              <w:rPr>
                <w:sz w:val="20"/>
                <w:szCs w:val="20"/>
                <w:color w:val="auto"/>
              </w:rPr>
            </w:pPr>
            <w:r>
              <w:rPr>
                <w:rFonts w:ascii="Arial" w:cs="Arial" w:eastAsia="Arial" w:hAnsi="Arial"/>
                <w:sz w:val="16"/>
                <w:szCs w:val="16"/>
                <w:color w:val="auto"/>
              </w:rPr>
              <w:t>Operating expenses to total average assets</w:t>
            </w:r>
          </w:p>
        </w:tc>
        <w:tc>
          <w:tcPr>
            <w:tcW w:w="120" w:type="dxa"/>
            <w:vAlign w:val="bottom"/>
          </w:tcPr>
          <w:p>
            <w:pPr>
              <w:spacing w:after="0"/>
              <w:rPr>
                <w:sz w:val="17"/>
                <w:szCs w:val="17"/>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0.60%</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0.56%</w:t>
            </w: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574"/>
        </w:trPr>
        <w:tc>
          <w:tcPr>
            <w:tcW w:w="20" w:type="dxa"/>
            <w:vAlign w:val="bottom"/>
          </w:tcPr>
          <w:p>
            <w:pPr>
              <w:spacing w:after="0"/>
              <w:rPr>
                <w:sz w:val="24"/>
                <w:szCs w:val="24"/>
                <w:color w:val="auto"/>
              </w:rPr>
            </w:pPr>
          </w:p>
        </w:tc>
        <w:tc>
          <w:tcPr>
            <w:tcW w:w="5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15</w:t>
            </w: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gridSpan w:val="2"/>
          </w:tcPr>
          <w:p>
            <w:pPr>
              <w:ind w:left="20"/>
              <w:spacing w:after="0"/>
              <w:rPr>
                <w:sz w:val="20"/>
                <w:szCs w:val="20"/>
                <w:color w:val="auto"/>
              </w:rPr>
            </w:pPr>
            <w:r>
              <w:rPr>
                <w:rFonts w:ascii="Arial" w:cs="Arial" w:eastAsia="Arial" w:hAnsi="Arial"/>
                <w:sz w:val="16"/>
                <w:szCs w:val="16"/>
                <w:color w:val="auto"/>
              </w:rPr>
              <w:t>EXHIBIT IV</w:t>
            </w:r>
          </w:p>
        </w:tc>
        <w:tc>
          <w:tcPr>
            <w:tcW w:w="0" w:type="dxa"/>
            <w:vAlign w:val="bottom"/>
          </w:tcPr>
          <w:p>
            <w:pPr>
              <w:spacing w:after="0"/>
              <w:rPr>
                <w:sz w:val="1"/>
                <w:szCs w:val="1"/>
                <w:color w:val="auto"/>
              </w:rPr>
            </w:pPr>
          </w:p>
        </w:tc>
      </w:tr>
      <w:tr>
        <w:trPr>
          <w:trHeight w:val="391"/>
        </w:trPr>
        <w:tc>
          <w:tcPr>
            <w:tcW w:w="2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940" w:type="dxa"/>
            <w:vAlign w:val="bottom"/>
            <w:gridSpan w:val="18"/>
          </w:tcPr>
          <w:p>
            <w:pPr>
              <w:ind w:left="680"/>
              <w:spacing w:after="0"/>
              <w:rPr>
                <w:sz w:val="20"/>
                <w:szCs w:val="20"/>
                <w:color w:val="auto"/>
              </w:rPr>
            </w:pPr>
            <w:r>
              <w:rPr>
                <w:rFonts w:ascii="Arial" w:cs="Arial" w:eastAsia="Arial" w:hAnsi="Arial"/>
                <w:sz w:val="16"/>
                <w:szCs w:val="16"/>
                <w:color w:val="auto"/>
                <w:w w:val="99"/>
              </w:rPr>
              <w:t>CONSOLIDATED NET INTEREST INCOME AND AVERAGE BALANCES</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7"/>
          </w:tcPr>
          <w:p>
            <w:pPr>
              <w:ind w:left="360"/>
              <w:spacing w:after="0"/>
              <w:rPr>
                <w:sz w:val="20"/>
                <w:szCs w:val="20"/>
                <w:color w:val="auto"/>
              </w:rPr>
            </w:pPr>
            <w:r>
              <w:rPr>
                <w:rFonts w:ascii="Arial" w:cs="Arial" w:eastAsia="Arial" w:hAnsi="Arial"/>
                <w:sz w:val="11"/>
                <w:szCs w:val="11"/>
                <w:color w:val="auto"/>
                <w:w w:val="98"/>
              </w:rPr>
              <w:t>FOR THE THREE MONTHS ENDED</w:t>
            </w: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72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980" w:type="dxa"/>
            <w:vAlign w:val="bottom"/>
            <w:tcBorders>
              <w:bottom w:val="single" w:sz="8" w:color="auto"/>
            </w:tcBorders>
            <w:gridSpan w:val="2"/>
          </w:tcPr>
          <w:p>
            <w:pPr>
              <w:jc w:val="right"/>
              <w:ind w:right="340"/>
              <w:spacing w:after="0" w:line="114" w:lineRule="exact"/>
              <w:rPr>
                <w:sz w:val="20"/>
                <w:szCs w:val="20"/>
                <w:color w:val="auto"/>
              </w:rPr>
            </w:pPr>
            <w:r>
              <w:rPr>
                <w:rFonts w:ascii="Arial" w:cs="Arial" w:eastAsia="Arial" w:hAnsi="Arial"/>
                <w:sz w:val="11"/>
                <w:szCs w:val="11"/>
                <w:color w:val="auto"/>
                <w:w w:val="88"/>
              </w:rPr>
              <w:t>June 30, 2021</w:t>
            </w:r>
          </w:p>
        </w:tc>
        <w:tc>
          <w:tcPr>
            <w:tcW w:w="780" w:type="dxa"/>
            <w:vAlign w:val="bottom"/>
            <w:tcBorders>
              <w:bottom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1240" w:type="dxa"/>
            <w:vAlign w:val="bottom"/>
            <w:tcBorders>
              <w:bottom w:val="single" w:sz="8" w:color="auto"/>
            </w:tcBorders>
            <w:gridSpan w:val="4"/>
          </w:tcPr>
          <w:p>
            <w:pPr>
              <w:jc w:val="right"/>
              <w:ind w:right="500"/>
              <w:spacing w:after="0" w:line="114" w:lineRule="exact"/>
              <w:rPr>
                <w:sz w:val="20"/>
                <w:szCs w:val="20"/>
                <w:color w:val="auto"/>
              </w:rPr>
            </w:pPr>
            <w:r>
              <w:rPr>
                <w:rFonts w:ascii="Arial" w:cs="Arial" w:eastAsia="Arial" w:hAnsi="Arial"/>
                <w:sz w:val="11"/>
                <w:szCs w:val="11"/>
                <w:color w:val="auto"/>
                <w:w w:val="94"/>
              </w:rPr>
              <w:t>March 31, 2021</w:t>
            </w:r>
          </w:p>
        </w:tc>
        <w:tc>
          <w:tcPr>
            <w:tcW w:w="540" w:type="dxa"/>
            <w:vAlign w:val="bottom"/>
            <w:tcBorders>
              <w:bottom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940" w:type="dxa"/>
            <w:vAlign w:val="bottom"/>
            <w:tcBorders>
              <w:bottom w:val="single" w:sz="8" w:color="auto"/>
            </w:tcBorders>
            <w:gridSpan w:val="2"/>
          </w:tcPr>
          <w:p>
            <w:pPr>
              <w:ind w:left="20"/>
              <w:spacing w:after="0" w:line="114" w:lineRule="exact"/>
              <w:rPr>
                <w:sz w:val="20"/>
                <w:szCs w:val="20"/>
                <w:color w:val="auto"/>
              </w:rPr>
            </w:pPr>
            <w:r>
              <w:rPr>
                <w:rFonts w:ascii="Arial" w:cs="Arial" w:eastAsia="Arial" w:hAnsi="Arial"/>
                <w:sz w:val="11"/>
                <w:szCs w:val="11"/>
                <w:color w:val="auto"/>
              </w:rPr>
              <w:t>June 30, 2020</w:t>
            </w:r>
          </w:p>
        </w:tc>
        <w:tc>
          <w:tcPr>
            <w:tcW w:w="780" w:type="dxa"/>
            <w:vAlign w:val="bottom"/>
            <w:tcBorders>
              <w:bottom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0"/>
        </w:trPr>
        <w:tc>
          <w:tcPr>
            <w:tcW w:w="20" w:type="dxa"/>
            <w:vAlign w:val="bottom"/>
          </w:tcPr>
          <w:p>
            <w:pPr>
              <w:spacing w:after="0"/>
              <w:rPr>
                <w:sz w:val="8"/>
                <w:szCs w:val="8"/>
                <w:color w:val="auto"/>
              </w:rPr>
            </w:pPr>
          </w:p>
        </w:tc>
        <w:tc>
          <w:tcPr>
            <w:tcW w:w="224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gridSpan w:val="2"/>
          </w:tcPr>
          <w:p>
            <w:pPr>
              <w:jc w:val="right"/>
              <w:ind w:right="380"/>
              <w:spacing w:after="0" w:line="101" w:lineRule="exact"/>
              <w:rPr>
                <w:sz w:val="20"/>
                <w:szCs w:val="20"/>
                <w:color w:val="auto"/>
              </w:rPr>
            </w:pPr>
            <w:r>
              <w:rPr>
                <w:rFonts w:ascii="Arial" w:cs="Arial" w:eastAsia="Arial" w:hAnsi="Arial"/>
                <w:sz w:val="11"/>
                <w:szCs w:val="11"/>
                <w:color w:val="auto"/>
              </w:rPr>
              <w:t>AVERAGE</w:t>
            </w:r>
          </w:p>
        </w:tc>
        <w:tc>
          <w:tcPr>
            <w:tcW w:w="60" w:type="dxa"/>
            <w:vAlign w:val="bottom"/>
          </w:tcPr>
          <w:p>
            <w:pPr>
              <w:spacing w:after="0"/>
              <w:rPr>
                <w:sz w:val="8"/>
                <w:szCs w:val="8"/>
                <w:color w:val="auto"/>
              </w:rPr>
            </w:pPr>
          </w:p>
        </w:tc>
        <w:tc>
          <w:tcPr>
            <w:tcW w:w="740" w:type="dxa"/>
            <w:vAlign w:val="bottom"/>
          </w:tcPr>
          <w:p>
            <w:pPr>
              <w:spacing w:after="0"/>
              <w:rPr>
                <w:sz w:val="8"/>
                <w:szCs w:val="8"/>
                <w:color w:val="auto"/>
              </w:rPr>
            </w:pPr>
          </w:p>
        </w:tc>
        <w:tc>
          <w:tcPr>
            <w:tcW w:w="240" w:type="dxa"/>
            <w:vAlign w:val="bottom"/>
          </w:tcPr>
          <w:p>
            <w:pPr>
              <w:spacing w:after="0"/>
              <w:rPr>
                <w:sz w:val="8"/>
                <w:szCs w:val="8"/>
                <w:color w:val="auto"/>
              </w:rPr>
            </w:pPr>
          </w:p>
        </w:tc>
        <w:tc>
          <w:tcPr>
            <w:tcW w:w="780" w:type="dxa"/>
            <w:vAlign w:val="bottom"/>
          </w:tcPr>
          <w:p>
            <w:pPr>
              <w:ind w:left="260"/>
              <w:spacing w:after="0" w:line="101" w:lineRule="exact"/>
              <w:rPr>
                <w:sz w:val="20"/>
                <w:szCs w:val="20"/>
                <w:color w:val="auto"/>
              </w:rPr>
            </w:pPr>
            <w:r>
              <w:rPr>
                <w:rFonts w:ascii="Arial" w:cs="Arial" w:eastAsia="Arial" w:hAnsi="Arial"/>
                <w:sz w:val="11"/>
                <w:szCs w:val="11"/>
                <w:color w:val="auto"/>
              </w:rPr>
              <w:t>AVG.</w:t>
            </w:r>
          </w:p>
        </w:tc>
        <w:tc>
          <w:tcPr>
            <w:tcW w:w="160" w:type="dxa"/>
            <w:vAlign w:val="bottom"/>
          </w:tcPr>
          <w:p>
            <w:pPr>
              <w:spacing w:after="0"/>
              <w:rPr>
                <w:sz w:val="8"/>
                <w:szCs w:val="8"/>
                <w:color w:val="auto"/>
              </w:rPr>
            </w:pPr>
          </w:p>
        </w:tc>
        <w:tc>
          <w:tcPr>
            <w:tcW w:w="60" w:type="dxa"/>
            <w:vAlign w:val="bottom"/>
          </w:tcPr>
          <w:p>
            <w:pPr>
              <w:spacing w:after="0"/>
              <w:rPr>
                <w:sz w:val="8"/>
                <w:szCs w:val="8"/>
                <w:color w:val="auto"/>
              </w:rPr>
            </w:pPr>
          </w:p>
        </w:tc>
        <w:tc>
          <w:tcPr>
            <w:tcW w:w="80" w:type="dxa"/>
            <w:vAlign w:val="bottom"/>
          </w:tcPr>
          <w:p>
            <w:pPr>
              <w:spacing w:after="0"/>
              <w:rPr>
                <w:sz w:val="8"/>
                <w:szCs w:val="8"/>
                <w:color w:val="auto"/>
              </w:rPr>
            </w:pPr>
          </w:p>
        </w:tc>
        <w:tc>
          <w:tcPr>
            <w:tcW w:w="780" w:type="dxa"/>
            <w:vAlign w:val="bottom"/>
            <w:gridSpan w:val="2"/>
          </w:tcPr>
          <w:p>
            <w:pPr>
              <w:jc w:val="right"/>
              <w:ind w:right="200"/>
              <w:spacing w:after="0" w:line="101" w:lineRule="exact"/>
              <w:rPr>
                <w:sz w:val="20"/>
                <w:szCs w:val="20"/>
                <w:color w:val="auto"/>
              </w:rPr>
            </w:pPr>
            <w:r>
              <w:rPr>
                <w:rFonts w:ascii="Arial" w:cs="Arial" w:eastAsia="Arial" w:hAnsi="Arial"/>
                <w:sz w:val="11"/>
                <w:szCs w:val="11"/>
                <w:color w:val="auto"/>
              </w:rPr>
              <w:t>AVERAGE</w:t>
            </w: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240" w:type="dxa"/>
            <w:vAlign w:val="bottom"/>
          </w:tcPr>
          <w:p>
            <w:pPr>
              <w:spacing w:after="0"/>
              <w:rPr>
                <w:sz w:val="8"/>
                <w:szCs w:val="8"/>
                <w:color w:val="auto"/>
              </w:rPr>
            </w:pPr>
          </w:p>
        </w:tc>
        <w:tc>
          <w:tcPr>
            <w:tcW w:w="540" w:type="dxa"/>
            <w:vAlign w:val="bottom"/>
          </w:tcPr>
          <w:p>
            <w:pPr>
              <w:ind w:left="20"/>
              <w:spacing w:after="0" w:line="101" w:lineRule="exact"/>
              <w:rPr>
                <w:sz w:val="20"/>
                <w:szCs w:val="20"/>
                <w:color w:val="auto"/>
              </w:rPr>
            </w:pPr>
            <w:r>
              <w:rPr>
                <w:rFonts w:ascii="Arial" w:cs="Arial" w:eastAsia="Arial" w:hAnsi="Arial"/>
                <w:sz w:val="11"/>
                <w:szCs w:val="11"/>
                <w:color w:val="auto"/>
              </w:rPr>
              <w:t>AVG.</w:t>
            </w:r>
          </w:p>
        </w:tc>
        <w:tc>
          <w:tcPr>
            <w:tcW w:w="160" w:type="dxa"/>
            <w:vAlign w:val="bottom"/>
          </w:tcPr>
          <w:p>
            <w:pPr>
              <w:spacing w:after="0"/>
              <w:rPr>
                <w:sz w:val="8"/>
                <w:szCs w:val="8"/>
                <w:color w:val="auto"/>
              </w:rPr>
            </w:pPr>
          </w:p>
        </w:tc>
        <w:tc>
          <w:tcPr>
            <w:tcW w:w="60" w:type="dxa"/>
            <w:vAlign w:val="bottom"/>
          </w:tcPr>
          <w:p>
            <w:pPr>
              <w:spacing w:after="0"/>
              <w:rPr>
                <w:sz w:val="8"/>
                <w:szCs w:val="8"/>
                <w:color w:val="auto"/>
              </w:rPr>
            </w:pPr>
          </w:p>
        </w:tc>
        <w:tc>
          <w:tcPr>
            <w:tcW w:w="80" w:type="dxa"/>
            <w:vAlign w:val="bottom"/>
          </w:tcPr>
          <w:p>
            <w:pPr>
              <w:spacing w:after="0"/>
              <w:rPr>
                <w:sz w:val="8"/>
                <w:szCs w:val="8"/>
                <w:color w:val="auto"/>
              </w:rPr>
            </w:pPr>
          </w:p>
        </w:tc>
        <w:tc>
          <w:tcPr>
            <w:tcW w:w="820" w:type="dxa"/>
            <w:vAlign w:val="bottom"/>
            <w:gridSpan w:val="2"/>
          </w:tcPr>
          <w:p>
            <w:pPr>
              <w:jc w:val="right"/>
              <w:ind w:right="240"/>
              <w:spacing w:after="0" w:line="101" w:lineRule="exact"/>
              <w:rPr>
                <w:sz w:val="20"/>
                <w:szCs w:val="20"/>
                <w:color w:val="auto"/>
              </w:rPr>
            </w:pPr>
            <w:r>
              <w:rPr>
                <w:rFonts w:ascii="Arial" w:cs="Arial" w:eastAsia="Arial" w:hAnsi="Arial"/>
                <w:sz w:val="11"/>
                <w:szCs w:val="11"/>
                <w:color w:val="auto"/>
              </w:rPr>
              <w:t>AVERAGE</w:t>
            </w:r>
          </w:p>
        </w:tc>
        <w:tc>
          <w:tcPr>
            <w:tcW w:w="100" w:type="dxa"/>
            <w:vAlign w:val="bottom"/>
          </w:tcPr>
          <w:p>
            <w:pPr>
              <w:spacing w:after="0"/>
              <w:rPr>
                <w:sz w:val="8"/>
                <w:szCs w:val="8"/>
                <w:color w:val="auto"/>
              </w:rPr>
            </w:pPr>
          </w:p>
        </w:tc>
        <w:tc>
          <w:tcPr>
            <w:tcW w:w="60" w:type="dxa"/>
            <w:vAlign w:val="bottom"/>
          </w:tcPr>
          <w:p>
            <w:pPr>
              <w:spacing w:after="0"/>
              <w:rPr>
                <w:sz w:val="8"/>
                <w:szCs w:val="8"/>
                <w:color w:val="auto"/>
              </w:rPr>
            </w:pPr>
          </w:p>
        </w:tc>
        <w:tc>
          <w:tcPr>
            <w:tcW w:w="72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ind w:left="260"/>
              <w:spacing w:after="0" w:line="101" w:lineRule="exact"/>
              <w:rPr>
                <w:sz w:val="20"/>
                <w:szCs w:val="20"/>
                <w:color w:val="auto"/>
              </w:rPr>
            </w:pPr>
            <w:r>
              <w:rPr>
                <w:rFonts w:ascii="Arial" w:cs="Arial" w:eastAsia="Arial" w:hAnsi="Arial"/>
                <w:sz w:val="11"/>
                <w:szCs w:val="11"/>
                <w:color w:val="auto"/>
              </w:rPr>
              <w:t>AVG.</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224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720" w:type="dxa"/>
            <w:vAlign w:val="bottom"/>
            <w:tcBorders>
              <w:bottom w:val="single" w:sz="8" w:color="auto"/>
            </w:tcBorders>
          </w:tcPr>
          <w:p>
            <w:pPr>
              <w:jc w:val="right"/>
              <w:ind w:right="82"/>
              <w:spacing w:after="0"/>
              <w:rPr>
                <w:sz w:val="20"/>
                <w:szCs w:val="20"/>
                <w:color w:val="auto"/>
              </w:rPr>
            </w:pPr>
            <w:r>
              <w:rPr>
                <w:rFonts w:ascii="Arial" w:cs="Arial" w:eastAsia="Arial" w:hAnsi="Arial"/>
                <w:sz w:val="11"/>
                <w:szCs w:val="11"/>
                <w:color w:val="auto"/>
              </w:rPr>
              <w:t>BALANCE</w:t>
            </w:r>
          </w:p>
        </w:tc>
        <w:tc>
          <w:tcPr>
            <w:tcW w:w="240" w:type="dxa"/>
            <w:vAlign w:val="bottom"/>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740" w:type="dxa"/>
            <w:vAlign w:val="bottom"/>
            <w:tcBorders>
              <w:bottom w:val="single" w:sz="8" w:color="auto"/>
            </w:tcBorders>
          </w:tcPr>
          <w:p>
            <w:pPr>
              <w:jc w:val="right"/>
              <w:ind w:right="83"/>
              <w:spacing w:after="0"/>
              <w:rPr>
                <w:sz w:val="20"/>
                <w:szCs w:val="20"/>
                <w:color w:val="auto"/>
              </w:rPr>
            </w:pPr>
            <w:r>
              <w:rPr>
                <w:rFonts w:ascii="Arial" w:cs="Arial" w:eastAsia="Arial" w:hAnsi="Arial"/>
                <w:sz w:val="11"/>
                <w:szCs w:val="11"/>
                <w:color w:val="auto"/>
              </w:rPr>
              <w:t>INTEREST</w:t>
            </w:r>
          </w:p>
        </w:tc>
        <w:tc>
          <w:tcPr>
            <w:tcW w:w="240" w:type="dxa"/>
            <w:vAlign w:val="bottom"/>
          </w:tcPr>
          <w:p>
            <w:pPr>
              <w:spacing w:after="0"/>
              <w:rPr>
                <w:sz w:val="11"/>
                <w:szCs w:val="11"/>
                <w:color w:val="auto"/>
              </w:rPr>
            </w:pPr>
          </w:p>
        </w:tc>
        <w:tc>
          <w:tcPr>
            <w:tcW w:w="780" w:type="dxa"/>
            <w:vAlign w:val="bottom"/>
            <w:tcBorders>
              <w:bottom w:val="single" w:sz="8" w:color="auto"/>
            </w:tcBorders>
          </w:tcPr>
          <w:p>
            <w:pPr>
              <w:ind w:left="240"/>
              <w:spacing w:after="0"/>
              <w:rPr>
                <w:sz w:val="20"/>
                <w:szCs w:val="20"/>
                <w:color w:val="auto"/>
              </w:rPr>
            </w:pPr>
            <w:r>
              <w:rPr>
                <w:rFonts w:ascii="Arial" w:cs="Arial" w:eastAsia="Arial" w:hAnsi="Arial"/>
                <w:sz w:val="11"/>
                <w:szCs w:val="11"/>
                <w:color w:val="auto"/>
              </w:rPr>
              <w:t>RATE</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jc w:val="right"/>
              <w:ind w:right="63"/>
              <w:spacing w:after="0"/>
              <w:rPr>
                <w:sz w:val="20"/>
                <w:szCs w:val="20"/>
                <w:color w:val="auto"/>
              </w:rPr>
            </w:pPr>
            <w:r>
              <w:rPr>
                <w:rFonts w:ascii="Arial" w:cs="Arial" w:eastAsia="Arial" w:hAnsi="Arial"/>
                <w:sz w:val="11"/>
                <w:szCs w:val="11"/>
                <w:color w:val="auto"/>
              </w:rPr>
              <w:t>BALANCE</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jc w:val="right"/>
              <w:ind w:right="63"/>
              <w:spacing w:after="0"/>
              <w:rPr>
                <w:sz w:val="20"/>
                <w:szCs w:val="20"/>
                <w:color w:val="auto"/>
              </w:rPr>
            </w:pPr>
            <w:r>
              <w:rPr>
                <w:rFonts w:ascii="Arial" w:cs="Arial" w:eastAsia="Arial" w:hAnsi="Arial"/>
                <w:sz w:val="11"/>
                <w:szCs w:val="11"/>
                <w:color w:val="auto"/>
              </w:rPr>
              <w:t>INTEREST</w:t>
            </w:r>
          </w:p>
        </w:tc>
        <w:tc>
          <w:tcPr>
            <w:tcW w:w="220" w:type="dxa"/>
            <w:vAlign w:val="bottom"/>
          </w:tcPr>
          <w:p>
            <w:pPr>
              <w:spacing w:after="0"/>
              <w:rPr>
                <w:sz w:val="11"/>
                <w:szCs w:val="11"/>
                <w:color w:val="auto"/>
              </w:rPr>
            </w:pPr>
          </w:p>
        </w:tc>
        <w:tc>
          <w:tcPr>
            <w:tcW w:w="240" w:type="dxa"/>
            <w:vAlign w:val="bottom"/>
            <w:tcBorders>
              <w:bottom w:val="single" w:sz="8" w:color="auto"/>
            </w:tcBorders>
          </w:tcPr>
          <w:p>
            <w:pPr>
              <w:spacing w:after="0"/>
              <w:rPr>
                <w:sz w:val="11"/>
                <w:szCs w:val="11"/>
                <w:color w:val="auto"/>
              </w:rPr>
            </w:pPr>
          </w:p>
        </w:tc>
        <w:tc>
          <w:tcPr>
            <w:tcW w:w="540" w:type="dxa"/>
            <w:vAlign w:val="bottom"/>
            <w:tcBorders>
              <w:bottom w:val="single" w:sz="8" w:color="auto"/>
            </w:tcBorders>
          </w:tcPr>
          <w:p>
            <w:pPr>
              <w:spacing w:after="0"/>
              <w:rPr>
                <w:sz w:val="20"/>
                <w:szCs w:val="20"/>
                <w:color w:val="auto"/>
              </w:rPr>
            </w:pPr>
            <w:r>
              <w:rPr>
                <w:rFonts w:ascii="Arial" w:cs="Arial" w:eastAsia="Arial" w:hAnsi="Arial"/>
                <w:sz w:val="11"/>
                <w:szCs w:val="11"/>
                <w:color w:val="auto"/>
              </w:rPr>
              <w:t>RATE</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jc w:val="right"/>
              <w:ind w:right="63"/>
              <w:spacing w:after="0"/>
              <w:rPr>
                <w:sz w:val="20"/>
                <w:szCs w:val="20"/>
                <w:color w:val="auto"/>
              </w:rPr>
            </w:pPr>
            <w:r>
              <w:rPr>
                <w:rFonts w:ascii="Arial" w:cs="Arial" w:eastAsia="Arial" w:hAnsi="Arial"/>
                <w:sz w:val="11"/>
                <w:szCs w:val="11"/>
                <w:color w:val="auto"/>
              </w:rPr>
              <w:t>BALANCE</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720" w:type="dxa"/>
            <w:vAlign w:val="bottom"/>
            <w:tcBorders>
              <w:bottom w:val="single" w:sz="8" w:color="auto"/>
            </w:tcBorders>
          </w:tcPr>
          <w:p>
            <w:pPr>
              <w:jc w:val="right"/>
              <w:ind w:right="63"/>
              <w:spacing w:after="0"/>
              <w:rPr>
                <w:sz w:val="20"/>
                <w:szCs w:val="20"/>
                <w:color w:val="auto"/>
              </w:rPr>
            </w:pPr>
            <w:r>
              <w:rPr>
                <w:rFonts w:ascii="Arial" w:cs="Arial" w:eastAsia="Arial" w:hAnsi="Arial"/>
                <w:sz w:val="11"/>
                <w:szCs w:val="11"/>
                <w:color w:val="auto"/>
              </w:rPr>
              <w:t>INTEREST</w:t>
            </w:r>
          </w:p>
        </w:tc>
        <w:tc>
          <w:tcPr>
            <w:tcW w:w="220" w:type="dxa"/>
            <w:vAlign w:val="bottom"/>
          </w:tcPr>
          <w:p>
            <w:pPr>
              <w:spacing w:after="0"/>
              <w:rPr>
                <w:sz w:val="11"/>
                <w:szCs w:val="11"/>
                <w:color w:val="auto"/>
              </w:rPr>
            </w:pPr>
          </w:p>
        </w:tc>
        <w:tc>
          <w:tcPr>
            <w:tcW w:w="780" w:type="dxa"/>
            <w:vAlign w:val="bottom"/>
            <w:tcBorders>
              <w:bottom w:val="single" w:sz="8" w:color="auto"/>
            </w:tcBorders>
          </w:tcPr>
          <w:p>
            <w:pPr>
              <w:ind w:left="240"/>
              <w:spacing w:after="0"/>
              <w:rPr>
                <w:sz w:val="20"/>
                <w:szCs w:val="20"/>
                <w:color w:val="auto"/>
              </w:rPr>
            </w:pPr>
            <w:r>
              <w:rPr>
                <w:rFonts w:ascii="Arial" w:cs="Arial" w:eastAsia="Arial" w:hAnsi="Arial"/>
                <w:sz w:val="11"/>
                <w:szCs w:val="11"/>
                <w:color w:val="auto"/>
              </w:rPr>
              <w:t>RATE</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2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20" w:type="dxa"/>
            <w:vAlign w:val="bottom"/>
            <w:gridSpan w:val="3"/>
          </w:tcPr>
          <w:p>
            <w:pPr>
              <w:jc w:val="right"/>
              <w:spacing w:after="0"/>
              <w:rPr>
                <w:sz w:val="20"/>
                <w:szCs w:val="20"/>
                <w:color w:val="auto"/>
              </w:rPr>
            </w:pPr>
            <w:r>
              <w:rPr>
                <w:rFonts w:ascii="Arial" w:cs="Arial" w:eastAsia="Arial" w:hAnsi="Arial"/>
                <w:sz w:val="11"/>
                <w:szCs w:val="11"/>
                <w:color w:val="auto"/>
                <w:w w:val="98"/>
              </w:rPr>
              <w:t>(In US$ thousand)</w:t>
            </w: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EARNING ASSETS</w:t>
            </w: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Cash and due from banks</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Pr>
          <w:p>
            <w:pPr>
              <w:jc w:val="right"/>
              <w:spacing w:after="0" w:line="122" w:lineRule="exact"/>
              <w:rPr>
                <w:sz w:val="20"/>
                <w:szCs w:val="20"/>
                <w:color w:val="auto"/>
              </w:rPr>
            </w:pPr>
            <w:r>
              <w:rPr>
                <w:rFonts w:ascii="Arial" w:cs="Arial" w:eastAsia="Arial" w:hAnsi="Arial"/>
                <w:sz w:val="11"/>
                <w:szCs w:val="11"/>
                <w:color w:val="auto"/>
              </w:rPr>
              <w:t>831,868</w:t>
            </w:r>
          </w:p>
        </w:tc>
        <w:tc>
          <w:tcPr>
            <w:tcW w:w="240" w:type="dxa"/>
            <w:vAlign w:val="bottom"/>
          </w:tcPr>
          <w:p>
            <w:pPr>
              <w:spacing w:after="0"/>
              <w:rPr>
                <w:sz w:val="10"/>
                <w:szCs w:val="10"/>
                <w:color w:val="auto"/>
              </w:rPr>
            </w:pP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240"/>
              <w:spacing w:after="0" w:line="122" w:lineRule="exact"/>
              <w:rPr>
                <w:sz w:val="20"/>
                <w:szCs w:val="20"/>
                <w:color w:val="auto"/>
              </w:rPr>
            </w:pPr>
            <w:r>
              <w:rPr>
                <w:rFonts w:ascii="Arial" w:cs="Arial" w:eastAsia="Arial" w:hAnsi="Arial"/>
                <w:sz w:val="11"/>
                <w:szCs w:val="11"/>
                <w:color w:val="auto"/>
              </w:rPr>
              <w:t>257</w:t>
            </w:r>
          </w:p>
        </w:tc>
        <w:tc>
          <w:tcPr>
            <w:tcW w:w="940" w:type="dxa"/>
            <w:vAlign w:val="bottom"/>
            <w:gridSpan w:val="2"/>
          </w:tcPr>
          <w:p>
            <w:pPr>
              <w:ind w:left="580"/>
              <w:spacing w:after="0" w:line="122" w:lineRule="exact"/>
              <w:rPr>
                <w:sz w:val="20"/>
                <w:szCs w:val="20"/>
                <w:color w:val="auto"/>
              </w:rPr>
            </w:pPr>
            <w:r>
              <w:rPr>
                <w:rFonts w:ascii="Arial" w:cs="Arial" w:eastAsia="Arial" w:hAnsi="Arial"/>
                <w:sz w:val="11"/>
                <w:szCs w:val="11"/>
                <w:color w:val="auto"/>
              </w:rPr>
              <w:t>0.12%</w:t>
            </w:r>
          </w:p>
        </w:tc>
        <w:tc>
          <w:tcPr>
            <w:tcW w:w="1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7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1,005,121</w:t>
            </w:r>
          </w:p>
        </w:tc>
        <w:tc>
          <w:tcPr>
            <w:tcW w:w="2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92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361</w:t>
            </w:r>
          </w:p>
        </w:tc>
        <w:tc>
          <w:tcPr>
            <w:tcW w:w="240" w:type="dxa"/>
            <w:vAlign w:val="bottom"/>
          </w:tcPr>
          <w:p>
            <w:pPr>
              <w:spacing w:after="0"/>
              <w:rPr>
                <w:sz w:val="10"/>
                <w:szCs w:val="10"/>
                <w:color w:val="auto"/>
              </w:rPr>
            </w:pPr>
          </w:p>
        </w:tc>
        <w:tc>
          <w:tcPr>
            <w:tcW w:w="700" w:type="dxa"/>
            <w:vAlign w:val="bottom"/>
            <w:gridSpan w:val="2"/>
          </w:tcPr>
          <w:p>
            <w:pPr>
              <w:ind w:left="340"/>
              <w:spacing w:after="0" w:line="122" w:lineRule="exact"/>
              <w:rPr>
                <w:sz w:val="20"/>
                <w:szCs w:val="20"/>
                <w:color w:val="auto"/>
              </w:rPr>
            </w:pPr>
            <w:r>
              <w:rPr>
                <w:rFonts w:ascii="Arial" w:cs="Arial" w:eastAsia="Arial" w:hAnsi="Arial"/>
                <w:sz w:val="11"/>
                <w:szCs w:val="11"/>
                <w:color w:val="auto"/>
              </w:rPr>
              <w:t>0.14%</w:t>
            </w:r>
          </w:p>
        </w:tc>
        <w:tc>
          <w:tcPr>
            <w:tcW w:w="1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2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1,945,739</w:t>
            </w:r>
          </w:p>
        </w:tc>
        <w:tc>
          <w:tcPr>
            <w:tcW w:w="1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94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916</w:t>
            </w:r>
          </w:p>
        </w:tc>
        <w:tc>
          <w:tcPr>
            <w:tcW w:w="900" w:type="dxa"/>
            <w:vAlign w:val="bottom"/>
            <w:gridSpan w:val="2"/>
          </w:tcPr>
          <w:p>
            <w:pPr>
              <w:ind w:left="580"/>
              <w:spacing w:after="0" w:line="122" w:lineRule="exact"/>
              <w:rPr>
                <w:sz w:val="20"/>
                <w:szCs w:val="20"/>
                <w:color w:val="auto"/>
              </w:rPr>
            </w:pPr>
            <w:r>
              <w:rPr>
                <w:rFonts w:ascii="Arial" w:cs="Arial" w:eastAsia="Arial" w:hAnsi="Arial"/>
                <w:sz w:val="11"/>
                <w:szCs w:val="11"/>
                <w:color w:val="auto"/>
                <w:w w:val="96"/>
              </w:rPr>
              <w:t>0.19%</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Securities at fair value through OCI</w:t>
            </w: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218,134</w:t>
            </w: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980" w:type="dxa"/>
            <w:vAlign w:val="bottom"/>
            <w:gridSpan w:val="2"/>
            <w:shd w:val="clear" w:color="auto" w:fill="CCEEFF"/>
          </w:tcPr>
          <w:p>
            <w:pPr>
              <w:jc w:val="right"/>
              <w:ind w:right="240"/>
              <w:spacing w:after="0" w:line="122" w:lineRule="exact"/>
              <w:rPr>
                <w:sz w:val="20"/>
                <w:szCs w:val="20"/>
                <w:color w:val="auto"/>
              </w:rPr>
            </w:pPr>
            <w:r>
              <w:rPr>
                <w:rFonts w:ascii="Arial" w:cs="Arial" w:eastAsia="Arial" w:hAnsi="Arial"/>
                <w:sz w:val="11"/>
                <w:szCs w:val="11"/>
                <w:color w:val="auto"/>
              </w:rPr>
              <w:t>214</w:t>
            </w:r>
          </w:p>
        </w:tc>
        <w:tc>
          <w:tcPr>
            <w:tcW w:w="940" w:type="dxa"/>
            <w:vAlign w:val="bottom"/>
            <w:gridSpan w:val="2"/>
            <w:shd w:val="clear" w:color="auto" w:fill="CCEEFF"/>
          </w:tcPr>
          <w:p>
            <w:pPr>
              <w:ind w:left="580"/>
              <w:spacing w:after="0" w:line="122" w:lineRule="exact"/>
              <w:rPr>
                <w:sz w:val="20"/>
                <w:szCs w:val="20"/>
                <w:color w:val="auto"/>
              </w:rPr>
            </w:pPr>
            <w:r>
              <w:rPr>
                <w:rFonts w:ascii="Arial" w:cs="Arial" w:eastAsia="Arial" w:hAnsi="Arial"/>
                <w:sz w:val="11"/>
                <w:szCs w:val="11"/>
                <w:color w:val="auto"/>
              </w:rPr>
              <w:t>0.39</w:t>
            </w: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230,765</w:t>
            </w: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239</w:t>
            </w:r>
          </w:p>
        </w:tc>
        <w:tc>
          <w:tcPr>
            <w:tcW w:w="2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ind w:left="340"/>
              <w:spacing w:after="0" w:line="122" w:lineRule="exact"/>
              <w:rPr>
                <w:sz w:val="20"/>
                <w:szCs w:val="20"/>
                <w:color w:val="auto"/>
              </w:rPr>
            </w:pPr>
            <w:r>
              <w:rPr>
                <w:rFonts w:ascii="Arial" w:cs="Arial" w:eastAsia="Arial" w:hAnsi="Arial"/>
                <w:sz w:val="11"/>
                <w:szCs w:val="11"/>
                <w:color w:val="auto"/>
              </w:rPr>
              <w:t>0.41</w:t>
            </w: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5,132</w:t>
            </w: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9</w:t>
            </w:r>
          </w:p>
        </w:tc>
        <w:tc>
          <w:tcPr>
            <w:tcW w:w="900" w:type="dxa"/>
            <w:vAlign w:val="bottom"/>
            <w:gridSpan w:val="2"/>
            <w:shd w:val="clear" w:color="auto" w:fill="CCEEFF"/>
          </w:tcPr>
          <w:p>
            <w:pPr>
              <w:ind w:left="580"/>
              <w:spacing w:after="0" w:line="122" w:lineRule="exact"/>
              <w:rPr>
                <w:sz w:val="20"/>
                <w:szCs w:val="20"/>
                <w:color w:val="auto"/>
              </w:rPr>
            </w:pPr>
            <w:r>
              <w:rPr>
                <w:rFonts w:ascii="Arial" w:cs="Arial" w:eastAsia="Arial" w:hAnsi="Arial"/>
                <w:sz w:val="11"/>
                <w:szCs w:val="11"/>
                <w:color w:val="auto"/>
              </w:rPr>
              <w:t>0.67</w:t>
            </w:r>
          </w:p>
        </w:tc>
        <w:tc>
          <w:tcPr>
            <w:tcW w:w="0" w:type="dxa"/>
            <w:vAlign w:val="bottom"/>
          </w:tcPr>
          <w:p>
            <w:pPr>
              <w:spacing w:after="0"/>
              <w:rPr>
                <w:sz w:val="1"/>
                <w:szCs w:val="1"/>
                <w:color w:val="auto"/>
              </w:rPr>
            </w:pPr>
          </w:p>
        </w:tc>
      </w:tr>
      <w:tr>
        <w:trPr>
          <w:trHeight w:val="159"/>
        </w:trPr>
        <w:tc>
          <w:tcPr>
            <w:tcW w:w="20" w:type="dxa"/>
            <w:vAlign w:val="bottom"/>
          </w:tcPr>
          <w:p>
            <w:pPr>
              <w:spacing w:after="0"/>
              <w:rPr>
                <w:sz w:val="13"/>
                <w:szCs w:val="13"/>
                <w:color w:val="auto"/>
              </w:rPr>
            </w:pPr>
          </w:p>
        </w:tc>
        <w:tc>
          <w:tcPr>
            <w:tcW w:w="2240" w:type="dxa"/>
            <w:vAlign w:val="bottom"/>
          </w:tcPr>
          <w:p>
            <w:pPr>
              <w:spacing w:after="0" w:line="158" w:lineRule="exact"/>
              <w:rPr>
                <w:sz w:val="20"/>
                <w:szCs w:val="20"/>
                <w:color w:val="auto"/>
              </w:rPr>
            </w:pPr>
            <w:r>
              <w:rPr>
                <w:rFonts w:ascii="Arial" w:cs="Arial" w:eastAsia="Arial" w:hAnsi="Arial"/>
                <w:sz w:val="11"/>
                <w:szCs w:val="11"/>
                <w:color w:val="auto"/>
              </w:rPr>
              <w:t xml:space="preserve">Securities at amortized cost </w:t>
            </w:r>
            <w:r>
              <w:rPr>
                <w:rFonts w:ascii="Arial" w:cs="Arial" w:eastAsia="Arial" w:hAnsi="Arial"/>
                <w:sz w:val="18"/>
                <w:szCs w:val="18"/>
                <w:color w:val="auto"/>
                <w:vertAlign w:val="superscript"/>
              </w:rPr>
              <w:t>(1)</w:t>
            </w:r>
          </w:p>
        </w:tc>
        <w:tc>
          <w:tcPr>
            <w:tcW w:w="10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1"/>
                <w:szCs w:val="11"/>
                <w:color w:val="auto"/>
              </w:rPr>
              <w:t>233,213</w:t>
            </w:r>
          </w:p>
        </w:tc>
        <w:tc>
          <w:tcPr>
            <w:tcW w:w="2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1"/>
                <w:szCs w:val="11"/>
                <w:color w:val="auto"/>
              </w:rPr>
              <w:t>1,711</w:t>
            </w:r>
          </w:p>
        </w:tc>
        <w:tc>
          <w:tcPr>
            <w:tcW w:w="240" w:type="dxa"/>
            <w:vAlign w:val="bottom"/>
          </w:tcPr>
          <w:p>
            <w:pPr>
              <w:spacing w:after="0"/>
              <w:rPr>
                <w:sz w:val="13"/>
                <w:szCs w:val="13"/>
                <w:color w:val="auto"/>
              </w:rPr>
            </w:pPr>
          </w:p>
        </w:tc>
        <w:tc>
          <w:tcPr>
            <w:tcW w:w="940" w:type="dxa"/>
            <w:vAlign w:val="bottom"/>
            <w:gridSpan w:val="2"/>
          </w:tcPr>
          <w:p>
            <w:pPr>
              <w:ind w:left="580"/>
              <w:spacing w:after="0"/>
              <w:rPr>
                <w:sz w:val="20"/>
                <w:szCs w:val="20"/>
                <w:color w:val="auto"/>
              </w:rPr>
            </w:pPr>
            <w:r>
              <w:rPr>
                <w:rFonts w:ascii="Arial" w:cs="Arial" w:eastAsia="Arial" w:hAnsi="Arial"/>
                <w:sz w:val="11"/>
                <w:szCs w:val="11"/>
                <w:color w:val="auto"/>
              </w:rPr>
              <w:t>2.90</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1"/>
                <w:szCs w:val="11"/>
                <w:color w:val="auto"/>
              </w:rPr>
              <w:t>168,756</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1"/>
                <w:szCs w:val="11"/>
                <w:color w:val="auto"/>
              </w:rPr>
              <w:t>1,398</w:t>
            </w:r>
          </w:p>
        </w:tc>
        <w:tc>
          <w:tcPr>
            <w:tcW w:w="240" w:type="dxa"/>
            <w:vAlign w:val="bottom"/>
          </w:tcPr>
          <w:p>
            <w:pPr>
              <w:spacing w:after="0"/>
              <w:rPr>
                <w:sz w:val="13"/>
                <w:szCs w:val="13"/>
                <w:color w:val="auto"/>
              </w:rPr>
            </w:pPr>
          </w:p>
        </w:tc>
        <w:tc>
          <w:tcPr>
            <w:tcW w:w="700" w:type="dxa"/>
            <w:vAlign w:val="bottom"/>
            <w:gridSpan w:val="2"/>
          </w:tcPr>
          <w:p>
            <w:pPr>
              <w:ind w:left="340"/>
              <w:spacing w:after="0"/>
              <w:rPr>
                <w:sz w:val="20"/>
                <w:szCs w:val="20"/>
                <w:color w:val="auto"/>
              </w:rPr>
            </w:pPr>
            <w:r>
              <w:rPr>
                <w:rFonts w:ascii="Arial" w:cs="Arial" w:eastAsia="Arial" w:hAnsi="Arial"/>
                <w:sz w:val="11"/>
                <w:szCs w:val="11"/>
                <w:color w:val="auto"/>
              </w:rPr>
              <w:t>3.31</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1"/>
                <w:szCs w:val="11"/>
                <w:color w:val="auto"/>
              </w:rPr>
              <w:t>73,953</w:t>
            </w:r>
          </w:p>
        </w:tc>
        <w:tc>
          <w:tcPr>
            <w:tcW w:w="1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1"/>
                <w:szCs w:val="11"/>
                <w:color w:val="auto"/>
              </w:rPr>
              <w:t>668</w:t>
            </w:r>
          </w:p>
        </w:tc>
        <w:tc>
          <w:tcPr>
            <w:tcW w:w="900" w:type="dxa"/>
            <w:vAlign w:val="bottom"/>
            <w:gridSpan w:val="2"/>
          </w:tcPr>
          <w:p>
            <w:pPr>
              <w:ind w:left="580"/>
              <w:spacing w:after="0"/>
              <w:rPr>
                <w:sz w:val="20"/>
                <w:szCs w:val="20"/>
                <w:color w:val="auto"/>
              </w:rPr>
            </w:pPr>
            <w:r>
              <w:rPr>
                <w:rFonts w:ascii="Arial" w:cs="Arial" w:eastAsia="Arial" w:hAnsi="Arial"/>
                <w:sz w:val="11"/>
                <w:szCs w:val="11"/>
                <w:color w:val="auto"/>
              </w:rPr>
              <w:t>3.58</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Loans, net of unearned interest</w:t>
            </w: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5,342,209</w:t>
            </w: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980" w:type="dxa"/>
            <w:vAlign w:val="bottom"/>
            <w:gridSpan w:val="2"/>
            <w:shd w:val="clear" w:color="auto" w:fill="CCEEFF"/>
          </w:tcPr>
          <w:p>
            <w:pPr>
              <w:jc w:val="right"/>
              <w:ind w:right="240"/>
              <w:spacing w:after="0" w:line="122" w:lineRule="exact"/>
              <w:rPr>
                <w:sz w:val="20"/>
                <w:szCs w:val="20"/>
                <w:color w:val="auto"/>
              </w:rPr>
            </w:pPr>
            <w:r>
              <w:rPr>
                <w:rFonts w:ascii="Arial" w:cs="Arial" w:eastAsia="Arial" w:hAnsi="Arial"/>
                <w:sz w:val="11"/>
                <w:szCs w:val="11"/>
                <w:color w:val="auto"/>
              </w:rPr>
              <w:t>31,982</w:t>
            </w:r>
          </w:p>
        </w:tc>
        <w:tc>
          <w:tcPr>
            <w:tcW w:w="940" w:type="dxa"/>
            <w:vAlign w:val="bottom"/>
            <w:gridSpan w:val="2"/>
            <w:shd w:val="clear" w:color="auto" w:fill="CCEEFF"/>
          </w:tcPr>
          <w:p>
            <w:pPr>
              <w:ind w:left="580"/>
              <w:spacing w:after="0" w:line="122" w:lineRule="exact"/>
              <w:rPr>
                <w:sz w:val="20"/>
                <w:szCs w:val="20"/>
                <w:color w:val="auto"/>
              </w:rPr>
            </w:pPr>
            <w:r>
              <w:rPr>
                <w:rFonts w:ascii="Arial" w:cs="Arial" w:eastAsia="Arial" w:hAnsi="Arial"/>
                <w:sz w:val="11"/>
                <w:szCs w:val="11"/>
                <w:color w:val="auto"/>
              </w:rPr>
              <w:t>2.37</w:t>
            </w: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4,755,822</w:t>
            </w: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30,921</w:t>
            </w:r>
          </w:p>
        </w:tc>
        <w:tc>
          <w:tcPr>
            <w:tcW w:w="2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ind w:left="340"/>
              <w:spacing w:after="0" w:line="122" w:lineRule="exact"/>
              <w:rPr>
                <w:sz w:val="20"/>
                <w:szCs w:val="20"/>
                <w:color w:val="auto"/>
              </w:rPr>
            </w:pPr>
            <w:r>
              <w:rPr>
                <w:rFonts w:ascii="Arial" w:cs="Arial" w:eastAsia="Arial" w:hAnsi="Arial"/>
                <w:sz w:val="11"/>
                <w:szCs w:val="11"/>
                <w:color w:val="auto"/>
              </w:rPr>
              <w:t>2.60</w:t>
            </w: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4,798,823</w:t>
            </w: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line="122" w:lineRule="exact"/>
              <w:rPr>
                <w:sz w:val="20"/>
                <w:szCs w:val="20"/>
                <w:color w:val="auto"/>
              </w:rPr>
            </w:pPr>
            <w:r>
              <w:rPr>
                <w:rFonts w:ascii="Arial" w:cs="Arial" w:eastAsia="Arial" w:hAnsi="Arial"/>
                <w:sz w:val="11"/>
                <w:szCs w:val="11"/>
                <w:color w:val="auto"/>
              </w:rPr>
              <w:t>42,914</w:t>
            </w:r>
          </w:p>
        </w:tc>
        <w:tc>
          <w:tcPr>
            <w:tcW w:w="900" w:type="dxa"/>
            <w:vAlign w:val="bottom"/>
            <w:gridSpan w:val="2"/>
            <w:shd w:val="clear" w:color="auto" w:fill="CCEEFF"/>
          </w:tcPr>
          <w:p>
            <w:pPr>
              <w:ind w:left="580"/>
              <w:spacing w:after="0" w:line="122" w:lineRule="exact"/>
              <w:rPr>
                <w:sz w:val="20"/>
                <w:szCs w:val="20"/>
                <w:color w:val="auto"/>
              </w:rPr>
            </w:pPr>
            <w:r>
              <w:rPr>
                <w:rFonts w:ascii="Arial" w:cs="Arial" w:eastAsia="Arial" w:hAnsi="Arial"/>
                <w:sz w:val="11"/>
                <w:szCs w:val="11"/>
                <w:color w:val="auto"/>
              </w:rPr>
              <w:t>3.54</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80" w:type="dxa"/>
            <w:vAlign w:val="bottom"/>
            <w:tcBorders>
              <w:bottom w:val="single" w:sz="8" w:color="CCEEFF"/>
            </w:tcBorders>
          </w:tcPr>
          <w:p>
            <w:pPr>
              <w:spacing w:after="0"/>
              <w:rPr>
                <w:sz w:val="10"/>
                <w:szCs w:val="10"/>
                <w:color w:val="auto"/>
              </w:rPr>
            </w:pPr>
          </w:p>
        </w:tc>
        <w:tc>
          <w:tcPr>
            <w:tcW w:w="140" w:type="dxa"/>
            <w:vAlign w:val="bottom"/>
            <w:tcBorders>
              <w:bottom w:val="single" w:sz="8" w:color="CCEEFF"/>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CCEEFF"/>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540" w:type="dxa"/>
            <w:vAlign w:val="bottom"/>
            <w:tcBorders>
              <w:bottom w:val="single" w:sz="8" w:color="auto"/>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100" w:type="dxa"/>
            <w:vAlign w:val="bottom"/>
            <w:tcBorders>
              <w:bottom w:val="single" w:sz="8" w:color="CCEEFF"/>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220" w:type="dxa"/>
            <w:vAlign w:val="bottom"/>
            <w:tcBorders>
              <w:bottom w:val="single" w:sz="8" w:color="CCEEFF"/>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shd w:val="clear" w:color="auto" w:fill="CCEEFF"/>
          </w:tcPr>
          <w:p>
            <w:pPr>
              <w:spacing w:after="0" w:line="114" w:lineRule="exact"/>
              <w:rPr>
                <w:sz w:val="20"/>
                <w:szCs w:val="20"/>
                <w:color w:val="auto"/>
              </w:rPr>
            </w:pPr>
            <w:r>
              <w:rPr>
                <w:rFonts w:ascii="Arial" w:cs="Arial" w:eastAsia="Arial" w:hAnsi="Arial"/>
                <w:sz w:val="11"/>
                <w:szCs w:val="11"/>
                <w:color w:val="auto"/>
              </w:rPr>
              <w:t>TOTAL INTEREST EARNING ASSETS</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6,625,424</w:t>
            </w:r>
          </w:p>
        </w:tc>
        <w:tc>
          <w:tcPr>
            <w:tcW w:w="240" w:type="dxa"/>
            <w:vAlign w:val="bottom"/>
            <w:shd w:val="clear" w:color="auto" w:fill="CCEEFF"/>
          </w:tcPr>
          <w:p>
            <w:pPr>
              <w:spacing w:after="0"/>
              <w:rPr>
                <w:sz w:val="9"/>
                <w:szCs w:val="9"/>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34,164</w:t>
            </w:r>
          </w:p>
        </w:tc>
        <w:tc>
          <w:tcPr>
            <w:tcW w:w="240" w:type="dxa"/>
            <w:vAlign w:val="bottom"/>
            <w:shd w:val="clear" w:color="auto" w:fill="CCEEFF"/>
          </w:tcPr>
          <w:p>
            <w:pPr>
              <w:spacing w:after="0"/>
              <w:rPr>
                <w:sz w:val="9"/>
                <w:szCs w:val="9"/>
                <w:color w:val="auto"/>
              </w:rPr>
            </w:pPr>
          </w:p>
        </w:tc>
        <w:tc>
          <w:tcPr>
            <w:tcW w:w="940" w:type="dxa"/>
            <w:vAlign w:val="bottom"/>
            <w:gridSpan w:val="2"/>
            <w:shd w:val="clear" w:color="auto" w:fill="CCEEFF"/>
          </w:tcPr>
          <w:p>
            <w:pPr>
              <w:ind w:left="580"/>
              <w:spacing w:after="0" w:line="114" w:lineRule="exact"/>
              <w:rPr>
                <w:sz w:val="20"/>
                <w:szCs w:val="20"/>
                <w:color w:val="auto"/>
              </w:rPr>
            </w:pPr>
            <w:r>
              <w:rPr>
                <w:rFonts w:ascii="Arial" w:cs="Arial" w:eastAsia="Arial" w:hAnsi="Arial"/>
                <w:sz w:val="11"/>
                <w:szCs w:val="11"/>
                <w:color w:val="auto"/>
              </w:rPr>
              <w:t>2.04%</w:t>
            </w: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6,160,464</w:t>
            </w:r>
          </w:p>
        </w:tc>
        <w:tc>
          <w:tcPr>
            <w:tcW w:w="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32,918</w:t>
            </w:r>
          </w:p>
        </w:tc>
        <w:tc>
          <w:tcPr>
            <w:tcW w:w="2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gridSpan w:val="2"/>
            <w:shd w:val="clear" w:color="auto" w:fill="CCEEFF"/>
          </w:tcPr>
          <w:p>
            <w:pPr>
              <w:ind w:left="340"/>
              <w:spacing w:after="0" w:line="114" w:lineRule="exact"/>
              <w:rPr>
                <w:sz w:val="20"/>
                <w:szCs w:val="20"/>
                <w:color w:val="auto"/>
              </w:rPr>
            </w:pPr>
            <w:r>
              <w:rPr>
                <w:rFonts w:ascii="Arial" w:cs="Arial" w:eastAsia="Arial" w:hAnsi="Arial"/>
                <w:sz w:val="11"/>
                <w:szCs w:val="11"/>
                <w:color w:val="auto"/>
              </w:rPr>
              <w:t>2.14%</w:t>
            </w: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6,823,647</w:t>
            </w: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shd w:val="clear" w:color="auto" w:fill="CCEEFF"/>
          </w:tcPr>
          <w:p>
            <w:pPr>
              <w:jc w:val="right"/>
              <w:spacing w:after="0" w:line="114" w:lineRule="exact"/>
              <w:rPr>
                <w:sz w:val="20"/>
                <w:szCs w:val="20"/>
                <w:color w:val="auto"/>
              </w:rPr>
            </w:pPr>
            <w:r>
              <w:rPr>
                <w:rFonts w:ascii="Arial" w:cs="Arial" w:eastAsia="Arial" w:hAnsi="Arial"/>
                <w:sz w:val="11"/>
                <w:szCs w:val="11"/>
                <w:color w:val="auto"/>
              </w:rPr>
              <w:t>44,507</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ind w:left="580"/>
              <w:spacing w:after="0" w:line="114" w:lineRule="exact"/>
              <w:rPr>
                <w:sz w:val="20"/>
                <w:szCs w:val="20"/>
                <w:color w:val="auto"/>
              </w:rPr>
            </w:pPr>
            <w:r>
              <w:rPr>
                <w:rFonts w:ascii="Arial" w:cs="Arial" w:eastAsia="Arial" w:hAnsi="Arial"/>
                <w:sz w:val="11"/>
                <w:szCs w:val="11"/>
                <w:color w:val="auto"/>
                <w:w w:val="96"/>
              </w:rPr>
              <w:t>2.58%</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224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6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Borders>
              <w:top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22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Allowance for loan losses</w:t>
            </w:r>
          </w:p>
        </w:tc>
        <w:tc>
          <w:tcPr>
            <w:tcW w:w="100" w:type="dxa"/>
            <w:vAlign w:val="bottom"/>
            <w:shd w:val="clear" w:color="auto" w:fill="CCEEFF"/>
          </w:tcPr>
          <w:p>
            <w:pPr>
              <w:spacing w:after="0"/>
              <w:rPr>
                <w:sz w:val="10"/>
                <w:szCs w:val="10"/>
                <w:color w:val="auto"/>
              </w:rPr>
            </w:pPr>
          </w:p>
        </w:tc>
        <w:tc>
          <w:tcPr>
            <w:tcW w:w="96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(42,439)</w:t>
            </w: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(40,254)</w:t>
            </w: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(87,621)</w:t>
            </w: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Non interest earning assets</w:t>
            </w:r>
          </w:p>
        </w:tc>
        <w:tc>
          <w:tcPr>
            <w:tcW w:w="100" w:type="dxa"/>
            <w:vAlign w:val="bottom"/>
          </w:tcPr>
          <w:p>
            <w:pPr>
              <w:spacing w:after="0"/>
              <w:rPr>
                <w:sz w:val="10"/>
                <w:szCs w:val="10"/>
                <w:color w:val="auto"/>
              </w:rPr>
            </w:pPr>
          </w:p>
        </w:tc>
        <w:tc>
          <w:tcPr>
            <w:tcW w:w="720" w:type="dxa"/>
            <w:vAlign w:val="bottom"/>
          </w:tcPr>
          <w:p>
            <w:pPr>
              <w:jc w:val="right"/>
              <w:spacing w:after="0" w:line="122" w:lineRule="exact"/>
              <w:rPr>
                <w:sz w:val="20"/>
                <w:szCs w:val="20"/>
                <w:color w:val="auto"/>
              </w:rPr>
            </w:pPr>
            <w:r>
              <w:rPr>
                <w:rFonts w:ascii="Arial" w:cs="Arial" w:eastAsia="Arial" w:hAnsi="Arial"/>
                <w:sz w:val="11"/>
                <w:szCs w:val="11"/>
                <w:color w:val="auto"/>
              </w:rPr>
              <w:t>160,119</w:t>
            </w: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142,182</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132,472</w:t>
            </w: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rPr>
                <w:sz w:val="10"/>
                <w:szCs w:val="10"/>
                <w:color w:val="auto"/>
              </w:rPr>
            </w:pPr>
          </w:p>
        </w:tc>
        <w:tc>
          <w:tcPr>
            <w:tcW w:w="100" w:type="dxa"/>
            <w:vAlign w:val="bottom"/>
            <w:tcBorders>
              <w:bottom w:val="single" w:sz="8" w:color="auto"/>
            </w:tcBorders>
            <w:shd w:val="clear" w:color="auto" w:fill="CCEEFF"/>
          </w:tcPr>
          <w:p>
            <w:pPr>
              <w:spacing w:after="0"/>
              <w:rPr>
                <w:sz w:val="10"/>
                <w:szCs w:val="10"/>
                <w:color w:val="auto"/>
              </w:rPr>
            </w:pPr>
          </w:p>
        </w:tc>
        <w:tc>
          <w:tcPr>
            <w:tcW w:w="720" w:type="dxa"/>
            <w:vAlign w:val="bottom"/>
            <w:tcBorders>
              <w:bottom w:val="single" w:sz="8" w:color="auto"/>
            </w:tcBorders>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tcBorders>
              <w:bottom w:val="single" w:sz="8" w:color="CCEEFF"/>
            </w:tcBorders>
          </w:tcPr>
          <w:p>
            <w:pPr>
              <w:spacing w:after="0" w:line="114" w:lineRule="exact"/>
              <w:rPr>
                <w:sz w:val="20"/>
                <w:szCs w:val="20"/>
                <w:color w:val="auto"/>
              </w:rPr>
            </w:pPr>
            <w:r>
              <w:rPr>
                <w:rFonts w:ascii="Arial" w:cs="Arial" w:eastAsia="Arial" w:hAnsi="Arial"/>
                <w:sz w:val="11"/>
                <w:szCs w:val="11"/>
                <w:color w:val="auto"/>
              </w:rPr>
              <w:t>TOTAL ASSETS</w:t>
            </w: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6,743,104</w:t>
            </w:r>
          </w:p>
        </w:tc>
        <w:tc>
          <w:tcPr>
            <w:tcW w:w="24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74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780" w:type="dxa"/>
            <w:vAlign w:val="bottom"/>
            <w:tcBorders>
              <w:bottom w:val="single" w:sz="8" w:color="CCEEFF"/>
            </w:tcBorders>
          </w:tcPr>
          <w:p>
            <w:pPr>
              <w:spacing w:after="0"/>
              <w:rPr>
                <w:sz w:val="9"/>
                <w:szCs w:val="9"/>
                <w:color w:val="auto"/>
              </w:rPr>
            </w:pPr>
          </w:p>
        </w:tc>
        <w:tc>
          <w:tcPr>
            <w:tcW w:w="16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6,262,393</w:t>
            </w:r>
          </w:p>
        </w:tc>
        <w:tc>
          <w:tcPr>
            <w:tcW w:w="8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80" w:type="dxa"/>
            <w:vAlign w:val="bottom"/>
            <w:tcBorders>
              <w:bottom w:val="single" w:sz="8" w:color="CCEEFF"/>
            </w:tcBorders>
          </w:tcPr>
          <w:p>
            <w:pPr>
              <w:spacing w:after="0"/>
              <w:rPr>
                <w:sz w:val="9"/>
                <w:szCs w:val="9"/>
                <w:color w:val="auto"/>
              </w:rPr>
            </w:pPr>
          </w:p>
        </w:tc>
        <w:tc>
          <w:tcPr>
            <w:tcW w:w="70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540" w:type="dxa"/>
            <w:vAlign w:val="bottom"/>
            <w:tcBorders>
              <w:bottom w:val="single" w:sz="8" w:color="CCEEFF"/>
            </w:tcBorders>
          </w:tcPr>
          <w:p>
            <w:pPr>
              <w:spacing w:after="0"/>
              <w:rPr>
                <w:sz w:val="9"/>
                <w:szCs w:val="9"/>
                <w:color w:val="auto"/>
              </w:rPr>
            </w:pPr>
          </w:p>
        </w:tc>
        <w:tc>
          <w:tcPr>
            <w:tcW w:w="16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6,868,498</w:t>
            </w:r>
          </w:p>
        </w:tc>
        <w:tc>
          <w:tcPr>
            <w:tcW w:w="120" w:type="dxa"/>
            <w:vAlign w:val="bottom"/>
            <w:tcBorders>
              <w:bottom w:val="single" w:sz="8" w:color="CCEEFF"/>
            </w:tcBorders>
          </w:tcPr>
          <w:p>
            <w:pPr>
              <w:spacing w:after="0"/>
              <w:rPr>
                <w:sz w:val="9"/>
                <w:szCs w:val="9"/>
                <w:color w:val="auto"/>
              </w:rPr>
            </w:pPr>
          </w:p>
        </w:tc>
        <w:tc>
          <w:tcPr>
            <w:tcW w:w="10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72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780" w:type="dxa"/>
            <w:vAlign w:val="bottom"/>
            <w:tcBorders>
              <w:bottom w:val="single" w:sz="8" w:color="CCEEFF"/>
            </w:tcBorders>
          </w:tcPr>
          <w:p>
            <w:pPr>
              <w:spacing w:after="0"/>
              <w:rPr>
                <w:sz w:val="9"/>
                <w:szCs w:val="9"/>
                <w:color w:val="auto"/>
              </w:rPr>
            </w:pPr>
          </w:p>
        </w:tc>
        <w:tc>
          <w:tcPr>
            <w:tcW w:w="120" w:type="dxa"/>
            <w:vAlign w:val="bottom"/>
            <w:tcBorders>
              <w:bottom w:val="single" w:sz="8" w:color="CCEEFF"/>
            </w:tcBorders>
          </w:tcPr>
          <w:p>
            <w:pPr>
              <w:spacing w:after="0"/>
              <w:rPr>
                <w:sz w:val="9"/>
                <w:szCs w:val="9"/>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2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22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BEARING LIABILITIES</w:t>
            </w: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Deposits</w:t>
            </w:r>
          </w:p>
        </w:tc>
        <w:tc>
          <w:tcPr>
            <w:tcW w:w="100" w:type="dxa"/>
            <w:vAlign w:val="bottom"/>
          </w:tcPr>
          <w:p>
            <w:pPr>
              <w:spacing w:after="0"/>
              <w:rPr>
                <w:sz w:val="10"/>
                <w:szCs w:val="10"/>
                <w:color w:val="auto"/>
              </w:rPr>
            </w:pPr>
          </w:p>
        </w:tc>
        <w:tc>
          <w:tcPr>
            <w:tcW w:w="720" w:type="dxa"/>
            <w:vAlign w:val="bottom"/>
          </w:tcPr>
          <w:p>
            <w:pPr>
              <w:jc w:val="right"/>
              <w:spacing w:after="0" w:line="122" w:lineRule="exact"/>
              <w:rPr>
                <w:sz w:val="20"/>
                <w:szCs w:val="20"/>
                <w:color w:val="auto"/>
              </w:rPr>
            </w:pPr>
            <w:r>
              <w:rPr>
                <w:rFonts w:ascii="Arial" w:cs="Arial" w:eastAsia="Arial" w:hAnsi="Arial"/>
                <w:sz w:val="11"/>
                <w:szCs w:val="11"/>
                <w:color w:val="auto"/>
              </w:rPr>
              <w:t>3,403,486</w:t>
            </w:r>
          </w:p>
        </w:tc>
        <w:tc>
          <w:tcPr>
            <w:tcW w:w="240" w:type="dxa"/>
            <w:vAlign w:val="bottom"/>
          </w:tcPr>
          <w:p>
            <w:pPr>
              <w:spacing w:after="0"/>
              <w:rPr>
                <w:sz w:val="10"/>
                <w:szCs w:val="10"/>
                <w:color w:val="auto"/>
              </w:rPr>
            </w:pP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line="122" w:lineRule="exact"/>
              <w:rPr>
                <w:sz w:val="20"/>
                <w:szCs w:val="20"/>
                <w:color w:val="auto"/>
              </w:rPr>
            </w:pPr>
            <w:r>
              <w:rPr>
                <w:rFonts w:ascii="Arial" w:cs="Arial" w:eastAsia="Arial" w:hAnsi="Arial"/>
                <w:sz w:val="11"/>
                <w:szCs w:val="11"/>
                <w:color w:val="auto"/>
              </w:rPr>
              <w:t>3,469</w:t>
            </w:r>
          </w:p>
        </w:tc>
        <w:tc>
          <w:tcPr>
            <w:tcW w:w="240" w:type="dxa"/>
            <w:vAlign w:val="bottom"/>
          </w:tcPr>
          <w:p>
            <w:pPr>
              <w:spacing w:after="0"/>
              <w:rPr>
                <w:sz w:val="10"/>
                <w:szCs w:val="10"/>
                <w:color w:val="auto"/>
              </w:rPr>
            </w:pPr>
          </w:p>
        </w:tc>
        <w:tc>
          <w:tcPr>
            <w:tcW w:w="940" w:type="dxa"/>
            <w:vAlign w:val="bottom"/>
            <w:gridSpan w:val="2"/>
          </w:tcPr>
          <w:p>
            <w:pPr>
              <w:ind w:left="580"/>
              <w:spacing w:after="0" w:line="122" w:lineRule="exact"/>
              <w:rPr>
                <w:sz w:val="20"/>
                <w:szCs w:val="20"/>
                <w:color w:val="auto"/>
              </w:rPr>
            </w:pPr>
            <w:r>
              <w:rPr>
                <w:rFonts w:ascii="Arial" w:cs="Arial" w:eastAsia="Arial" w:hAnsi="Arial"/>
                <w:sz w:val="11"/>
                <w:szCs w:val="11"/>
                <w:color w:val="auto"/>
              </w:rPr>
              <w:t>0.40%</w:t>
            </w: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3,254,281</w:t>
            </w:r>
          </w:p>
        </w:tc>
        <w:tc>
          <w:tcPr>
            <w:tcW w:w="2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92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3,472</w:t>
            </w:r>
          </w:p>
        </w:tc>
        <w:tc>
          <w:tcPr>
            <w:tcW w:w="240" w:type="dxa"/>
            <w:vAlign w:val="bottom"/>
          </w:tcPr>
          <w:p>
            <w:pPr>
              <w:spacing w:after="0"/>
              <w:rPr>
                <w:sz w:val="10"/>
                <w:szCs w:val="10"/>
                <w:color w:val="auto"/>
              </w:rPr>
            </w:pPr>
          </w:p>
        </w:tc>
        <w:tc>
          <w:tcPr>
            <w:tcW w:w="700" w:type="dxa"/>
            <w:vAlign w:val="bottom"/>
            <w:gridSpan w:val="2"/>
          </w:tcPr>
          <w:p>
            <w:pPr>
              <w:ind w:left="340"/>
              <w:spacing w:after="0" w:line="122" w:lineRule="exact"/>
              <w:rPr>
                <w:sz w:val="20"/>
                <w:szCs w:val="20"/>
                <w:color w:val="auto"/>
              </w:rPr>
            </w:pPr>
            <w:r>
              <w:rPr>
                <w:rFonts w:ascii="Arial" w:cs="Arial" w:eastAsia="Arial" w:hAnsi="Arial"/>
                <w:sz w:val="11"/>
                <w:szCs w:val="11"/>
                <w:color w:val="auto"/>
              </w:rPr>
              <w:t>0.43%</w:t>
            </w:r>
          </w:p>
        </w:tc>
        <w:tc>
          <w:tcPr>
            <w:tcW w:w="1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82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2,730,228</w:t>
            </w:r>
          </w:p>
        </w:tc>
        <w:tc>
          <w:tcPr>
            <w:tcW w:w="16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w:t>
            </w:r>
          </w:p>
        </w:tc>
        <w:tc>
          <w:tcPr>
            <w:tcW w:w="940" w:type="dxa"/>
            <w:vAlign w:val="bottom"/>
            <w:gridSpan w:val="2"/>
          </w:tcPr>
          <w:p>
            <w:pPr>
              <w:jc w:val="right"/>
              <w:ind w:right="220"/>
              <w:spacing w:after="0" w:line="122" w:lineRule="exact"/>
              <w:rPr>
                <w:sz w:val="20"/>
                <w:szCs w:val="20"/>
                <w:color w:val="auto"/>
              </w:rPr>
            </w:pPr>
            <w:r>
              <w:rPr>
                <w:rFonts w:ascii="Arial" w:cs="Arial" w:eastAsia="Arial" w:hAnsi="Arial"/>
                <w:sz w:val="11"/>
                <w:szCs w:val="11"/>
                <w:color w:val="auto"/>
              </w:rPr>
              <w:t>5,691</w:t>
            </w:r>
          </w:p>
        </w:tc>
        <w:tc>
          <w:tcPr>
            <w:tcW w:w="900" w:type="dxa"/>
            <w:vAlign w:val="bottom"/>
            <w:gridSpan w:val="2"/>
          </w:tcPr>
          <w:p>
            <w:pPr>
              <w:ind w:left="580"/>
              <w:spacing w:after="0" w:line="122" w:lineRule="exact"/>
              <w:rPr>
                <w:sz w:val="20"/>
                <w:szCs w:val="20"/>
                <w:color w:val="auto"/>
              </w:rPr>
            </w:pPr>
            <w:r>
              <w:rPr>
                <w:rFonts w:ascii="Arial" w:cs="Arial" w:eastAsia="Arial" w:hAnsi="Arial"/>
                <w:sz w:val="11"/>
                <w:szCs w:val="11"/>
                <w:color w:val="auto"/>
                <w:w w:val="96"/>
              </w:rPr>
              <w:t>0.82%</w:t>
            </w:r>
          </w:p>
        </w:tc>
        <w:tc>
          <w:tcPr>
            <w:tcW w:w="0" w:type="dxa"/>
            <w:vAlign w:val="bottom"/>
          </w:tcPr>
          <w:p>
            <w:pPr>
              <w:spacing w:after="0"/>
              <w:rPr>
                <w:sz w:val="1"/>
                <w:szCs w:val="1"/>
                <w:color w:val="auto"/>
              </w:rPr>
            </w:pPr>
          </w:p>
        </w:tc>
      </w:tr>
      <w:tr>
        <w:trPr>
          <w:trHeight w:val="108"/>
        </w:trPr>
        <w:tc>
          <w:tcPr>
            <w:tcW w:w="20" w:type="dxa"/>
            <w:vAlign w:val="bottom"/>
          </w:tcPr>
          <w:p>
            <w:pPr>
              <w:spacing w:after="0"/>
              <w:rPr>
                <w:sz w:val="9"/>
                <w:szCs w:val="9"/>
                <w:color w:val="auto"/>
              </w:rPr>
            </w:pPr>
          </w:p>
        </w:tc>
        <w:tc>
          <w:tcPr>
            <w:tcW w:w="2240" w:type="dxa"/>
            <w:vAlign w:val="bottom"/>
            <w:shd w:val="clear" w:color="auto" w:fill="CCEEFF"/>
          </w:tcPr>
          <w:p>
            <w:pPr>
              <w:spacing w:after="0" w:line="109" w:lineRule="exact"/>
              <w:rPr>
                <w:sz w:val="20"/>
                <w:szCs w:val="20"/>
                <w:color w:val="auto"/>
              </w:rPr>
            </w:pPr>
            <w:r>
              <w:rPr>
                <w:rFonts w:ascii="Arial" w:cs="Arial" w:eastAsia="Arial" w:hAnsi="Arial"/>
                <w:sz w:val="11"/>
                <w:szCs w:val="11"/>
                <w:color w:val="auto"/>
              </w:rPr>
              <w:t>Securities sold under repurchase agreement</w:t>
            </w: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1"/>
                <w:szCs w:val="11"/>
                <w:color w:val="auto"/>
              </w:rPr>
              <w:t>and short-term borrowings and debt</w:t>
            </w: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646,154</w:t>
            </w: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1,206</w:t>
            </w:r>
          </w:p>
        </w:tc>
        <w:tc>
          <w:tcPr>
            <w:tcW w:w="2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ind w:left="580"/>
              <w:spacing w:after="0"/>
              <w:rPr>
                <w:sz w:val="20"/>
                <w:szCs w:val="20"/>
                <w:color w:val="auto"/>
              </w:rPr>
            </w:pPr>
            <w:r>
              <w:rPr>
                <w:rFonts w:ascii="Arial" w:cs="Arial" w:eastAsia="Arial" w:hAnsi="Arial"/>
                <w:sz w:val="11"/>
                <w:szCs w:val="11"/>
                <w:color w:val="auto"/>
              </w:rPr>
              <w:t>0.74</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368,291</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1"/>
                <w:szCs w:val="11"/>
                <w:color w:val="auto"/>
              </w:rPr>
              <w:t>1,785</w:t>
            </w:r>
          </w:p>
        </w:tc>
        <w:tc>
          <w:tcPr>
            <w:tcW w:w="2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1.94</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1,692,766</w:t>
            </w: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1"/>
                <w:szCs w:val="11"/>
                <w:color w:val="auto"/>
              </w:rPr>
              <w:t>8,426</w:t>
            </w:r>
          </w:p>
        </w:tc>
        <w:tc>
          <w:tcPr>
            <w:tcW w:w="900" w:type="dxa"/>
            <w:vAlign w:val="bottom"/>
            <w:gridSpan w:val="2"/>
            <w:shd w:val="clear" w:color="auto" w:fill="CCEEFF"/>
          </w:tcPr>
          <w:p>
            <w:pPr>
              <w:ind w:left="580"/>
              <w:spacing w:after="0"/>
              <w:rPr>
                <w:sz w:val="20"/>
                <w:szCs w:val="20"/>
                <w:color w:val="auto"/>
              </w:rPr>
            </w:pPr>
            <w:r>
              <w:rPr>
                <w:rFonts w:ascii="Arial" w:cs="Arial" w:eastAsia="Arial" w:hAnsi="Arial"/>
                <w:sz w:val="11"/>
                <w:szCs w:val="11"/>
                <w:color w:val="auto"/>
              </w:rPr>
              <w:t>1.97</w:t>
            </w:r>
          </w:p>
        </w:tc>
        <w:tc>
          <w:tcPr>
            <w:tcW w:w="0" w:type="dxa"/>
            <w:vAlign w:val="bottom"/>
          </w:tcPr>
          <w:p>
            <w:pPr>
              <w:spacing w:after="0"/>
              <w:rPr>
                <w:sz w:val="1"/>
                <w:szCs w:val="1"/>
                <w:color w:val="auto"/>
              </w:rPr>
            </w:pPr>
          </w:p>
        </w:tc>
      </w:tr>
      <w:tr>
        <w:trPr>
          <w:trHeight w:val="159"/>
        </w:trPr>
        <w:tc>
          <w:tcPr>
            <w:tcW w:w="20" w:type="dxa"/>
            <w:vAlign w:val="bottom"/>
          </w:tcPr>
          <w:p>
            <w:pPr>
              <w:spacing w:after="0"/>
              <w:rPr>
                <w:sz w:val="13"/>
                <w:szCs w:val="13"/>
                <w:color w:val="auto"/>
              </w:rPr>
            </w:pPr>
          </w:p>
        </w:tc>
        <w:tc>
          <w:tcPr>
            <w:tcW w:w="2240" w:type="dxa"/>
            <w:vAlign w:val="bottom"/>
          </w:tcPr>
          <w:p>
            <w:pPr>
              <w:spacing w:after="0" w:line="158" w:lineRule="exact"/>
              <w:rPr>
                <w:sz w:val="20"/>
                <w:szCs w:val="20"/>
                <w:color w:val="auto"/>
              </w:rPr>
            </w:pPr>
            <w:r>
              <w:rPr>
                <w:rFonts w:ascii="Arial" w:cs="Arial" w:eastAsia="Arial" w:hAnsi="Arial"/>
                <w:sz w:val="11"/>
                <w:szCs w:val="11"/>
                <w:color w:val="auto"/>
              </w:rPr>
              <w:t xml:space="preserve">Long-term borrowings and debt, net </w:t>
            </w:r>
            <w:r>
              <w:rPr>
                <w:rFonts w:ascii="Arial" w:cs="Arial" w:eastAsia="Arial" w:hAnsi="Arial"/>
                <w:sz w:val="18"/>
                <w:szCs w:val="18"/>
                <w:color w:val="auto"/>
                <w:vertAlign w:val="superscript"/>
              </w:rPr>
              <w:t>(2)</w:t>
            </w:r>
          </w:p>
        </w:tc>
        <w:tc>
          <w:tcPr>
            <w:tcW w:w="10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1"/>
                <w:szCs w:val="11"/>
                <w:color w:val="auto"/>
              </w:rPr>
              <w:t>1,531,329</w:t>
            </w:r>
          </w:p>
        </w:tc>
        <w:tc>
          <w:tcPr>
            <w:tcW w:w="2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1"/>
                <w:szCs w:val="11"/>
                <w:color w:val="auto"/>
              </w:rPr>
              <w:t>8,491</w:t>
            </w:r>
          </w:p>
        </w:tc>
        <w:tc>
          <w:tcPr>
            <w:tcW w:w="240" w:type="dxa"/>
            <w:vAlign w:val="bottom"/>
          </w:tcPr>
          <w:p>
            <w:pPr>
              <w:spacing w:after="0"/>
              <w:rPr>
                <w:sz w:val="13"/>
                <w:szCs w:val="13"/>
                <w:color w:val="auto"/>
              </w:rPr>
            </w:pPr>
          </w:p>
        </w:tc>
        <w:tc>
          <w:tcPr>
            <w:tcW w:w="940" w:type="dxa"/>
            <w:vAlign w:val="bottom"/>
            <w:gridSpan w:val="2"/>
          </w:tcPr>
          <w:p>
            <w:pPr>
              <w:ind w:left="580"/>
              <w:spacing w:after="0"/>
              <w:rPr>
                <w:sz w:val="20"/>
                <w:szCs w:val="20"/>
                <w:color w:val="auto"/>
              </w:rPr>
            </w:pPr>
            <w:r>
              <w:rPr>
                <w:rFonts w:ascii="Arial" w:cs="Arial" w:eastAsia="Arial" w:hAnsi="Arial"/>
                <w:sz w:val="11"/>
                <w:szCs w:val="11"/>
                <w:color w:val="auto"/>
              </w:rPr>
              <w:t>2.19</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1"/>
                <w:szCs w:val="11"/>
                <w:color w:val="auto"/>
              </w:rPr>
              <w:t>1,494,923</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1"/>
                <w:szCs w:val="11"/>
                <w:color w:val="auto"/>
              </w:rPr>
              <w:t>8,766</w:t>
            </w:r>
          </w:p>
        </w:tc>
        <w:tc>
          <w:tcPr>
            <w:tcW w:w="240" w:type="dxa"/>
            <w:vAlign w:val="bottom"/>
          </w:tcPr>
          <w:p>
            <w:pPr>
              <w:spacing w:after="0"/>
              <w:rPr>
                <w:sz w:val="13"/>
                <w:szCs w:val="13"/>
                <w:color w:val="auto"/>
              </w:rPr>
            </w:pPr>
          </w:p>
        </w:tc>
        <w:tc>
          <w:tcPr>
            <w:tcW w:w="700" w:type="dxa"/>
            <w:vAlign w:val="bottom"/>
            <w:gridSpan w:val="2"/>
          </w:tcPr>
          <w:p>
            <w:pPr>
              <w:ind w:left="340"/>
              <w:spacing w:after="0"/>
              <w:rPr>
                <w:sz w:val="20"/>
                <w:szCs w:val="20"/>
                <w:color w:val="auto"/>
              </w:rPr>
            </w:pPr>
            <w:r>
              <w:rPr>
                <w:rFonts w:ascii="Arial" w:cs="Arial" w:eastAsia="Arial" w:hAnsi="Arial"/>
                <w:sz w:val="11"/>
                <w:szCs w:val="11"/>
                <w:color w:val="auto"/>
              </w:rPr>
              <w:t>2.35</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1"/>
                <w:szCs w:val="11"/>
                <w:color w:val="auto"/>
              </w:rPr>
              <w:t>1,304,760</w:t>
            </w:r>
          </w:p>
        </w:tc>
        <w:tc>
          <w:tcPr>
            <w:tcW w:w="1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1"/>
                <w:szCs w:val="11"/>
                <w:color w:val="auto"/>
              </w:rPr>
              <w:t>8,667</w:t>
            </w:r>
          </w:p>
        </w:tc>
        <w:tc>
          <w:tcPr>
            <w:tcW w:w="900" w:type="dxa"/>
            <w:vAlign w:val="bottom"/>
            <w:gridSpan w:val="2"/>
          </w:tcPr>
          <w:p>
            <w:pPr>
              <w:ind w:left="580"/>
              <w:spacing w:after="0"/>
              <w:rPr>
                <w:sz w:val="20"/>
                <w:szCs w:val="20"/>
                <w:color w:val="auto"/>
              </w:rPr>
            </w:pPr>
            <w:r>
              <w:rPr>
                <w:rFonts w:ascii="Arial" w:cs="Arial" w:eastAsia="Arial" w:hAnsi="Arial"/>
                <w:sz w:val="11"/>
                <w:szCs w:val="11"/>
                <w:color w:val="auto"/>
              </w:rPr>
              <w:t>2.63</w:t>
            </w: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rPr>
                <w:sz w:val="10"/>
                <w:szCs w:val="10"/>
                <w:color w:val="auto"/>
              </w:rPr>
            </w:pPr>
          </w:p>
        </w:tc>
        <w:tc>
          <w:tcPr>
            <w:tcW w:w="100" w:type="dxa"/>
            <w:vAlign w:val="bottom"/>
            <w:tcBorders>
              <w:bottom w:val="single" w:sz="8" w:color="auto"/>
            </w:tcBorders>
            <w:shd w:val="clear" w:color="auto" w:fill="CCEEFF"/>
          </w:tcPr>
          <w:p>
            <w:pPr>
              <w:spacing w:after="0"/>
              <w:rPr>
                <w:sz w:val="10"/>
                <w:szCs w:val="10"/>
                <w:color w:val="auto"/>
              </w:rPr>
            </w:pPr>
          </w:p>
        </w:tc>
        <w:tc>
          <w:tcPr>
            <w:tcW w:w="720" w:type="dxa"/>
            <w:vAlign w:val="bottom"/>
            <w:tcBorders>
              <w:bottom w:val="single" w:sz="8" w:color="auto"/>
            </w:tcBorders>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tcBorders>
              <w:bottom w:val="single" w:sz="8" w:color="auto"/>
            </w:tcBorders>
            <w:shd w:val="clear" w:color="auto" w:fill="CCEEFF"/>
          </w:tcPr>
          <w:p>
            <w:pPr>
              <w:spacing w:after="0"/>
              <w:rPr>
                <w:sz w:val="10"/>
                <w:szCs w:val="10"/>
                <w:color w:val="auto"/>
              </w:rPr>
            </w:pPr>
          </w:p>
        </w:tc>
        <w:tc>
          <w:tcPr>
            <w:tcW w:w="740" w:type="dxa"/>
            <w:vAlign w:val="bottom"/>
            <w:tcBorders>
              <w:bottom w:val="single" w:sz="8" w:color="auto"/>
            </w:tcBorders>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tcBorders>
              <w:bottom w:val="single" w:sz="8" w:color="auto"/>
            </w:tcBorders>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tcBorders>
              <w:bottom w:val="single" w:sz="8" w:color="auto"/>
            </w:tcBorders>
            <w:shd w:val="clear" w:color="auto" w:fill="CCEEFF"/>
          </w:tcPr>
          <w:p>
            <w:pPr>
              <w:spacing w:after="0"/>
              <w:rPr>
                <w:sz w:val="10"/>
                <w:szCs w:val="10"/>
                <w:color w:val="auto"/>
              </w:rPr>
            </w:pPr>
          </w:p>
        </w:tc>
        <w:tc>
          <w:tcPr>
            <w:tcW w:w="540" w:type="dxa"/>
            <w:vAlign w:val="bottom"/>
            <w:tcBorders>
              <w:bottom w:val="single" w:sz="8" w:color="auto"/>
            </w:tcBorders>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tcBorders>
              <w:bottom w:val="single" w:sz="8" w:color="auto"/>
            </w:tcBorders>
            <w:shd w:val="clear" w:color="auto" w:fill="CCEEFF"/>
          </w:tcPr>
          <w:p>
            <w:pPr>
              <w:spacing w:after="0"/>
              <w:rPr>
                <w:sz w:val="10"/>
                <w:szCs w:val="10"/>
                <w:color w:val="auto"/>
              </w:rPr>
            </w:pPr>
          </w:p>
        </w:tc>
        <w:tc>
          <w:tcPr>
            <w:tcW w:w="720" w:type="dxa"/>
            <w:vAlign w:val="bottom"/>
            <w:tcBorders>
              <w:bottom w:val="single" w:sz="8" w:color="auto"/>
            </w:tcBorders>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tcBorders>
              <w:bottom w:val="single" w:sz="8" w:color="auto"/>
            </w:tcBorders>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tcPr>
          <w:p>
            <w:pPr>
              <w:spacing w:after="0" w:line="114" w:lineRule="exact"/>
              <w:rPr>
                <w:sz w:val="20"/>
                <w:szCs w:val="20"/>
                <w:color w:val="auto"/>
              </w:rPr>
            </w:pPr>
            <w:r>
              <w:rPr>
                <w:rFonts w:ascii="Arial" w:cs="Arial" w:eastAsia="Arial" w:hAnsi="Arial"/>
                <w:sz w:val="11"/>
                <w:szCs w:val="11"/>
                <w:color w:val="auto"/>
              </w:rPr>
              <w:t>TOTAL INTEREST BEARING LIABILITIES</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Pr>
          <w:p>
            <w:pPr>
              <w:jc w:val="right"/>
              <w:spacing w:after="0" w:line="114" w:lineRule="exact"/>
              <w:rPr>
                <w:sz w:val="20"/>
                <w:szCs w:val="20"/>
                <w:color w:val="auto"/>
              </w:rPr>
            </w:pPr>
            <w:r>
              <w:rPr>
                <w:rFonts w:ascii="Arial" w:cs="Arial" w:eastAsia="Arial" w:hAnsi="Arial"/>
                <w:sz w:val="11"/>
                <w:szCs w:val="11"/>
                <w:color w:val="auto"/>
              </w:rPr>
              <w:t>5,580,970</w:t>
            </w:r>
          </w:p>
        </w:tc>
        <w:tc>
          <w:tcPr>
            <w:tcW w:w="240" w:type="dxa"/>
            <w:vAlign w:val="bottom"/>
          </w:tcPr>
          <w:p>
            <w:pPr>
              <w:spacing w:after="0"/>
              <w:rPr>
                <w:sz w:val="9"/>
                <w:szCs w:val="9"/>
                <w:color w:val="auto"/>
              </w:rPr>
            </w:pP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line="114" w:lineRule="exact"/>
              <w:rPr>
                <w:sz w:val="20"/>
                <w:szCs w:val="20"/>
                <w:color w:val="auto"/>
              </w:rPr>
            </w:pPr>
            <w:r>
              <w:rPr>
                <w:rFonts w:ascii="Arial" w:cs="Arial" w:eastAsia="Arial" w:hAnsi="Arial"/>
                <w:sz w:val="11"/>
                <w:szCs w:val="11"/>
                <w:color w:val="auto"/>
              </w:rPr>
              <w:t>13,166</w:t>
            </w:r>
          </w:p>
        </w:tc>
        <w:tc>
          <w:tcPr>
            <w:tcW w:w="240" w:type="dxa"/>
            <w:vAlign w:val="bottom"/>
          </w:tcPr>
          <w:p>
            <w:pPr>
              <w:spacing w:after="0"/>
              <w:rPr>
                <w:sz w:val="9"/>
                <w:szCs w:val="9"/>
                <w:color w:val="auto"/>
              </w:rPr>
            </w:pPr>
          </w:p>
        </w:tc>
        <w:tc>
          <w:tcPr>
            <w:tcW w:w="940" w:type="dxa"/>
            <w:vAlign w:val="bottom"/>
            <w:gridSpan w:val="2"/>
          </w:tcPr>
          <w:p>
            <w:pPr>
              <w:ind w:left="580"/>
              <w:spacing w:after="0" w:line="114" w:lineRule="exact"/>
              <w:rPr>
                <w:sz w:val="20"/>
                <w:szCs w:val="20"/>
                <w:color w:val="auto"/>
              </w:rPr>
            </w:pPr>
            <w:r>
              <w:rPr>
                <w:rFonts w:ascii="Arial" w:cs="Arial" w:eastAsia="Arial" w:hAnsi="Arial"/>
                <w:sz w:val="11"/>
                <w:szCs w:val="11"/>
                <w:color w:val="auto"/>
              </w:rPr>
              <w:t>0.93%</w:t>
            </w:r>
          </w:p>
        </w:tc>
        <w:tc>
          <w:tcPr>
            <w:tcW w:w="60" w:type="dxa"/>
            <w:vAlign w:val="bottom"/>
          </w:tcPr>
          <w:p>
            <w:pPr>
              <w:spacing w:after="0"/>
              <w:rPr>
                <w:sz w:val="9"/>
                <w:szCs w:val="9"/>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14" w:lineRule="exact"/>
              <w:rPr>
                <w:sz w:val="20"/>
                <w:szCs w:val="20"/>
                <w:color w:val="auto"/>
              </w:rPr>
            </w:pPr>
            <w:r>
              <w:rPr>
                <w:rFonts w:ascii="Arial" w:cs="Arial" w:eastAsia="Arial" w:hAnsi="Arial"/>
                <w:sz w:val="11"/>
                <w:szCs w:val="11"/>
                <w:color w:val="auto"/>
              </w:rPr>
              <w:t>5,117,495</w:t>
            </w: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14" w:lineRule="exact"/>
              <w:rPr>
                <w:sz w:val="20"/>
                <w:szCs w:val="20"/>
                <w:color w:val="auto"/>
              </w:rPr>
            </w:pPr>
            <w:r>
              <w:rPr>
                <w:rFonts w:ascii="Arial" w:cs="Arial" w:eastAsia="Arial" w:hAnsi="Arial"/>
                <w:sz w:val="11"/>
                <w:szCs w:val="11"/>
                <w:color w:val="auto"/>
              </w:rPr>
              <w:t>14,023</w:t>
            </w:r>
          </w:p>
        </w:tc>
        <w:tc>
          <w:tcPr>
            <w:tcW w:w="22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gridSpan w:val="2"/>
          </w:tcPr>
          <w:p>
            <w:pPr>
              <w:ind w:left="340"/>
              <w:spacing w:after="0" w:line="114" w:lineRule="exact"/>
              <w:rPr>
                <w:sz w:val="20"/>
                <w:szCs w:val="20"/>
                <w:color w:val="auto"/>
              </w:rPr>
            </w:pPr>
            <w:r>
              <w:rPr>
                <w:rFonts w:ascii="Arial" w:cs="Arial" w:eastAsia="Arial" w:hAnsi="Arial"/>
                <w:sz w:val="11"/>
                <w:szCs w:val="11"/>
                <w:color w:val="auto"/>
              </w:rPr>
              <w:t>1.10%</w:t>
            </w:r>
          </w:p>
        </w:tc>
        <w:tc>
          <w:tcPr>
            <w:tcW w:w="60" w:type="dxa"/>
            <w:vAlign w:val="bottom"/>
          </w:tcPr>
          <w:p>
            <w:pPr>
              <w:spacing w:after="0"/>
              <w:rPr>
                <w:sz w:val="9"/>
                <w:szCs w:val="9"/>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14" w:lineRule="exact"/>
              <w:rPr>
                <w:sz w:val="20"/>
                <w:szCs w:val="20"/>
                <w:color w:val="auto"/>
              </w:rPr>
            </w:pPr>
            <w:r>
              <w:rPr>
                <w:rFonts w:ascii="Arial" w:cs="Arial" w:eastAsia="Arial" w:hAnsi="Arial"/>
                <w:sz w:val="11"/>
                <w:szCs w:val="11"/>
                <w:color w:val="auto"/>
              </w:rPr>
              <w:t>5,727,754</w:t>
            </w: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Pr>
          <w:p>
            <w:pPr>
              <w:jc w:val="right"/>
              <w:spacing w:after="0" w:line="114" w:lineRule="exact"/>
              <w:rPr>
                <w:sz w:val="20"/>
                <w:szCs w:val="20"/>
                <w:color w:val="auto"/>
              </w:rPr>
            </w:pPr>
            <w:r>
              <w:rPr>
                <w:rFonts w:ascii="Arial" w:cs="Arial" w:eastAsia="Arial" w:hAnsi="Arial"/>
                <w:sz w:val="11"/>
                <w:szCs w:val="11"/>
                <w:color w:val="auto"/>
              </w:rPr>
              <w:t>22,784</w:t>
            </w:r>
          </w:p>
        </w:tc>
        <w:tc>
          <w:tcPr>
            <w:tcW w:w="220" w:type="dxa"/>
            <w:vAlign w:val="bottom"/>
          </w:tcPr>
          <w:p>
            <w:pPr>
              <w:spacing w:after="0"/>
              <w:rPr>
                <w:sz w:val="9"/>
                <w:szCs w:val="9"/>
                <w:color w:val="auto"/>
              </w:rPr>
            </w:pPr>
          </w:p>
        </w:tc>
        <w:tc>
          <w:tcPr>
            <w:tcW w:w="900" w:type="dxa"/>
            <w:vAlign w:val="bottom"/>
            <w:gridSpan w:val="2"/>
          </w:tcPr>
          <w:p>
            <w:pPr>
              <w:ind w:left="580"/>
              <w:spacing w:after="0" w:line="114" w:lineRule="exact"/>
              <w:rPr>
                <w:sz w:val="20"/>
                <w:szCs w:val="20"/>
                <w:color w:val="auto"/>
              </w:rPr>
            </w:pPr>
            <w:r>
              <w:rPr>
                <w:rFonts w:ascii="Arial" w:cs="Arial" w:eastAsia="Arial" w:hAnsi="Arial"/>
                <w:sz w:val="11"/>
                <w:szCs w:val="11"/>
                <w:color w:val="auto"/>
                <w:w w:val="96"/>
              </w:rPr>
              <w:t>1.57%</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224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24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20" w:type="dxa"/>
            <w:vAlign w:val="bottom"/>
            <w:vMerge w:val="continue"/>
          </w:tcPr>
          <w:p>
            <w:pPr>
              <w:spacing w:after="0"/>
              <w:rPr>
                <w:sz w:val="9"/>
                <w:szCs w:val="9"/>
                <w:color w:val="auto"/>
              </w:rPr>
            </w:pPr>
          </w:p>
        </w:tc>
        <w:tc>
          <w:tcPr>
            <w:tcW w:w="2240" w:type="dxa"/>
            <w:vAlign w:val="bottom"/>
          </w:tcPr>
          <w:p>
            <w:pPr>
              <w:spacing w:after="0" w:line="109" w:lineRule="exact"/>
              <w:rPr>
                <w:sz w:val="20"/>
                <w:szCs w:val="20"/>
                <w:color w:val="auto"/>
              </w:rPr>
            </w:pPr>
            <w:r>
              <w:rPr>
                <w:rFonts w:ascii="Arial" w:cs="Arial" w:eastAsia="Arial" w:hAnsi="Arial"/>
                <w:sz w:val="11"/>
                <w:szCs w:val="11"/>
                <w:color w:val="auto"/>
              </w:rPr>
              <w:t>Non interest bearing liabilities and other</w:t>
            </w: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240" w:type="dxa"/>
            <w:vAlign w:val="bottom"/>
          </w:tcPr>
          <w:p>
            <w:pPr>
              <w:spacing w:after="0"/>
              <w:rPr>
                <w:sz w:val="9"/>
                <w:szCs w:val="9"/>
                <w:color w:val="auto"/>
              </w:rPr>
            </w:pPr>
          </w:p>
        </w:tc>
        <w:tc>
          <w:tcPr>
            <w:tcW w:w="60" w:type="dxa"/>
            <w:vAlign w:val="bottom"/>
          </w:tcPr>
          <w:p>
            <w:pPr>
              <w:spacing w:after="0"/>
              <w:rPr>
                <w:sz w:val="9"/>
                <w:szCs w:val="9"/>
                <w:color w:val="auto"/>
              </w:rPr>
            </w:pPr>
          </w:p>
        </w:tc>
        <w:tc>
          <w:tcPr>
            <w:tcW w:w="740" w:type="dxa"/>
            <w:vAlign w:val="bottom"/>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72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2260" w:type="dxa"/>
            <w:vAlign w:val="bottom"/>
            <w:gridSpan w:val="2"/>
          </w:tcPr>
          <w:p>
            <w:pPr>
              <w:spacing w:after="0"/>
              <w:rPr>
                <w:sz w:val="20"/>
                <w:szCs w:val="20"/>
                <w:color w:val="auto"/>
              </w:rPr>
            </w:pPr>
            <w:r>
              <w:rPr>
                <w:rFonts w:ascii="Arial" w:cs="Arial" w:eastAsia="Arial" w:hAnsi="Arial"/>
                <w:sz w:val="11"/>
                <w:szCs w:val="11"/>
                <w:color w:val="auto"/>
              </w:rPr>
              <w:t>liabilities</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Pr>
          <w:p>
            <w:pPr>
              <w:jc w:val="right"/>
              <w:spacing w:after="0"/>
              <w:rPr>
                <w:sz w:val="20"/>
                <w:szCs w:val="20"/>
                <w:color w:val="auto"/>
              </w:rPr>
            </w:pPr>
            <w:r>
              <w:rPr>
                <w:rFonts w:ascii="Arial" w:cs="Arial" w:eastAsia="Arial" w:hAnsi="Arial"/>
                <w:sz w:val="11"/>
                <w:szCs w:val="11"/>
                <w:color w:val="auto"/>
              </w:rPr>
              <w:t>124,407</w:t>
            </w: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gridSpan w:val="2"/>
          </w:tcPr>
          <w:p>
            <w:pPr>
              <w:jc w:val="right"/>
              <w:spacing w:after="0"/>
              <w:rPr>
                <w:sz w:val="20"/>
                <w:szCs w:val="20"/>
                <w:color w:val="auto"/>
              </w:rPr>
            </w:pPr>
            <w:r>
              <w:rPr>
                <w:rFonts w:ascii="Arial" w:cs="Arial" w:eastAsia="Arial" w:hAnsi="Arial"/>
                <w:sz w:val="11"/>
                <w:szCs w:val="11"/>
                <w:color w:val="auto"/>
              </w:rPr>
              <w:t>$</w:t>
            </w:r>
          </w:p>
        </w:tc>
        <w:tc>
          <w:tcPr>
            <w:tcW w:w="780" w:type="dxa"/>
            <w:vAlign w:val="bottom"/>
            <w:gridSpan w:val="2"/>
          </w:tcPr>
          <w:p>
            <w:pPr>
              <w:jc w:val="right"/>
              <w:ind w:right="80"/>
              <w:spacing w:after="0"/>
              <w:rPr>
                <w:sz w:val="20"/>
                <w:szCs w:val="20"/>
                <w:color w:val="auto"/>
              </w:rPr>
            </w:pPr>
            <w:r>
              <w:rPr>
                <w:rFonts w:ascii="Arial" w:cs="Arial" w:eastAsia="Arial" w:hAnsi="Arial"/>
                <w:sz w:val="11"/>
                <w:szCs w:val="11"/>
                <w:color w:val="auto"/>
              </w:rPr>
              <w:t>102,420</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gridSpan w:val="2"/>
          </w:tcPr>
          <w:p>
            <w:pPr>
              <w:jc w:val="right"/>
              <w:spacing w:after="0"/>
              <w:rPr>
                <w:sz w:val="20"/>
                <w:szCs w:val="20"/>
                <w:color w:val="auto"/>
              </w:rPr>
            </w:pPr>
            <w:r>
              <w:rPr>
                <w:rFonts w:ascii="Arial" w:cs="Arial" w:eastAsia="Arial" w:hAnsi="Arial"/>
                <w:sz w:val="11"/>
                <w:szCs w:val="11"/>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1"/>
                <w:szCs w:val="11"/>
                <w:color w:val="auto"/>
              </w:rPr>
              <w:t>112,004</w:t>
            </w: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2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TOTAL LIABILITIES</w:t>
            </w:r>
          </w:p>
        </w:tc>
        <w:tc>
          <w:tcPr>
            <w:tcW w:w="100" w:type="dxa"/>
            <w:vAlign w:val="bottom"/>
          </w:tcPr>
          <w:p>
            <w:pPr>
              <w:spacing w:after="0"/>
              <w:rPr>
                <w:sz w:val="10"/>
                <w:szCs w:val="10"/>
                <w:color w:val="auto"/>
              </w:rPr>
            </w:pPr>
          </w:p>
        </w:tc>
        <w:tc>
          <w:tcPr>
            <w:tcW w:w="720" w:type="dxa"/>
            <w:vAlign w:val="bottom"/>
          </w:tcPr>
          <w:p>
            <w:pPr>
              <w:jc w:val="right"/>
              <w:spacing w:after="0" w:line="122" w:lineRule="exact"/>
              <w:rPr>
                <w:sz w:val="20"/>
                <w:szCs w:val="20"/>
                <w:color w:val="auto"/>
              </w:rPr>
            </w:pPr>
            <w:r>
              <w:rPr>
                <w:rFonts w:ascii="Arial" w:cs="Arial" w:eastAsia="Arial" w:hAnsi="Arial"/>
                <w:sz w:val="11"/>
                <w:szCs w:val="11"/>
                <w:color w:val="auto"/>
              </w:rPr>
              <w:t>5,705,377</w:t>
            </w: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5,219,916</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5,839,758</w:t>
            </w: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restart"/>
          </w:tcPr>
          <w:p>
            <w:pPr>
              <w:spacing w:after="0"/>
              <w:rPr>
                <w:sz w:val="10"/>
                <w:szCs w:val="10"/>
                <w:color w:val="auto"/>
              </w:rPr>
            </w:pPr>
          </w:p>
        </w:tc>
        <w:tc>
          <w:tcPr>
            <w:tcW w:w="2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EQUITY</w:t>
            </w:r>
          </w:p>
        </w:tc>
        <w:tc>
          <w:tcPr>
            <w:tcW w:w="100" w:type="dxa"/>
            <w:vAlign w:val="bottom"/>
          </w:tcPr>
          <w:p>
            <w:pPr>
              <w:spacing w:after="0"/>
              <w:rPr>
                <w:sz w:val="10"/>
                <w:szCs w:val="10"/>
                <w:color w:val="auto"/>
              </w:rPr>
            </w:pPr>
          </w:p>
        </w:tc>
        <w:tc>
          <w:tcPr>
            <w:tcW w:w="720" w:type="dxa"/>
            <w:vAlign w:val="bottom"/>
          </w:tcPr>
          <w:p>
            <w:pPr>
              <w:jc w:val="right"/>
              <w:spacing w:after="0" w:line="122" w:lineRule="exact"/>
              <w:rPr>
                <w:sz w:val="20"/>
                <w:szCs w:val="20"/>
                <w:color w:val="auto"/>
              </w:rPr>
            </w:pPr>
            <w:r>
              <w:rPr>
                <w:rFonts w:ascii="Arial" w:cs="Arial" w:eastAsia="Arial" w:hAnsi="Arial"/>
                <w:sz w:val="11"/>
                <w:szCs w:val="11"/>
                <w:color w:val="auto"/>
              </w:rPr>
              <w:t>1,037,727</w:t>
            </w: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1,042,477</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1,028,740</w:t>
            </w: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0" w:type="dxa"/>
            <w:vAlign w:val="bottom"/>
          </w:tcPr>
          <w:p>
            <w:pPr>
              <w:spacing w:after="0"/>
              <w:rPr>
                <w:sz w:val="10"/>
                <w:szCs w:val="10"/>
                <w:color w:val="auto"/>
              </w:rPr>
            </w:pPr>
          </w:p>
        </w:tc>
        <w:tc>
          <w:tcPr>
            <w:tcW w:w="2240" w:type="dxa"/>
            <w:vAlign w:val="bottom"/>
            <w:shd w:val="clear" w:color="auto" w:fill="CCEEFF"/>
          </w:tcPr>
          <w:p>
            <w:pPr>
              <w:spacing w:after="0"/>
              <w:rPr>
                <w:sz w:val="10"/>
                <w:szCs w:val="10"/>
                <w:color w:val="auto"/>
              </w:rPr>
            </w:pPr>
          </w:p>
        </w:tc>
        <w:tc>
          <w:tcPr>
            <w:tcW w:w="100" w:type="dxa"/>
            <w:vAlign w:val="bottom"/>
            <w:tcBorders>
              <w:bottom w:val="single" w:sz="8" w:color="auto"/>
            </w:tcBorders>
            <w:shd w:val="clear" w:color="auto" w:fill="CCEEFF"/>
          </w:tcPr>
          <w:p>
            <w:pPr>
              <w:spacing w:after="0"/>
              <w:rPr>
                <w:sz w:val="10"/>
                <w:szCs w:val="10"/>
                <w:color w:val="auto"/>
              </w:rPr>
            </w:pPr>
          </w:p>
        </w:tc>
        <w:tc>
          <w:tcPr>
            <w:tcW w:w="720" w:type="dxa"/>
            <w:vAlign w:val="bottom"/>
            <w:tcBorders>
              <w:bottom w:val="single" w:sz="8" w:color="auto"/>
            </w:tcBorders>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tcBorders>
              <w:bottom w:val="single" w:sz="8" w:color="auto"/>
            </w:tcBorders>
            <w:shd w:val="clear" w:color="auto" w:fill="CCEEFF"/>
          </w:tcPr>
          <w:p>
            <w:pPr>
              <w:spacing w:after="0"/>
              <w:rPr>
                <w:sz w:val="10"/>
                <w:szCs w:val="10"/>
                <w:color w:val="auto"/>
              </w:rPr>
            </w:pPr>
          </w:p>
        </w:tc>
        <w:tc>
          <w:tcPr>
            <w:tcW w:w="700" w:type="dxa"/>
            <w:vAlign w:val="bottom"/>
            <w:tcBorders>
              <w:bottom w:val="single" w:sz="8" w:color="auto"/>
            </w:tcBorders>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240" w:type="dxa"/>
            <w:vAlign w:val="bottom"/>
            <w:tcBorders>
              <w:bottom w:val="single" w:sz="8" w:color="CCEEFF"/>
            </w:tcBorders>
          </w:tcPr>
          <w:p>
            <w:pPr>
              <w:spacing w:after="0" w:line="114" w:lineRule="exact"/>
              <w:rPr>
                <w:sz w:val="20"/>
                <w:szCs w:val="20"/>
                <w:color w:val="auto"/>
              </w:rPr>
            </w:pPr>
            <w:r>
              <w:rPr>
                <w:rFonts w:ascii="Arial" w:cs="Arial" w:eastAsia="Arial" w:hAnsi="Arial"/>
                <w:sz w:val="11"/>
                <w:szCs w:val="11"/>
                <w:color w:val="auto"/>
              </w:rPr>
              <w:t>TOTAL LIABILITIES AND EQUITY</w:t>
            </w: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6,743,104</w:t>
            </w:r>
          </w:p>
        </w:tc>
        <w:tc>
          <w:tcPr>
            <w:tcW w:w="24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74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780" w:type="dxa"/>
            <w:vAlign w:val="bottom"/>
            <w:tcBorders>
              <w:bottom w:val="single" w:sz="8" w:color="CCEEFF"/>
            </w:tcBorders>
          </w:tcPr>
          <w:p>
            <w:pPr>
              <w:spacing w:after="0"/>
              <w:rPr>
                <w:sz w:val="9"/>
                <w:szCs w:val="9"/>
                <w:color w:val="auto"/>
              </w:rPr>
            </w:pPr>
          </w:p>
        </w:tc>
        <w:tc>
          <w:tcPr>
            <w:tcW w:w="16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6,262,393</w:t>
            </w:r>
          </w:p>
        </w:tc>
        <w:tc>
          <w:tcPr>
            <w:tcW w:w="8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80" w:type="dxa"/>
            <w:vAlign w:val="bottom"/>
            <w:tcBorders>
              <w:bottom w:val="single" w:sz="8" w:color="CCEEFF"/>
            </w:tcBorders>
          </w:tcPr>
          <w:p>
            <w:pPr>
              <w:spacing w:after="0"/>
              <w:rPr>
                <w:sz w:val="9"/>
                <w:szCs w:val="9"/>
                <w:color w:val="auto"/>
              </w:rPr>
            </w:pPr>
          </w:p>
        </w:tc>
        <w:tc>
          <w:tcPr>
            <w:tcW w:w="70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540" w:type="dxa"/>
            <w:vAlign w:val="bottom"/>
            <w:tcBorders>
              <w:bottom w:val="single" w:sz="8" w:color="CCEEFF"/>
            </w:tcBorders>
          </w:tcPr>
          <w:p>
            <w:pPr>
              <w:spacing w:after="0"/>
              <w:rPr>
                <w:sz w:val="9"/>
                <w:szCs w:val="9"/>
                <w:color w:val="auto"/>
              </w:rPr>
            </w:pPr>
          </w:p>
        </w:tc>
        <w:tc>
          <w:tcPr>
            <w:tcW w:w="16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14" w:lineRule="exact"/>
              <w:rPr>
                <w:sz w:val="20"/>
                <w:szCs w:val="20"/>
                <w:color w:val="auto"/>
              </w:rPr>
            </w:pPr>
            <w:r>
              <w:rPr>
                <w:rFonts w:ascii="Arial" w:cs="Arial" w:eastAsia="Arial" w:hAnsi="Arial"/>
                <w:sz w:val="11"/>
                <w:szCs w:val="11"/>
                <w:color w:val="auto"/>
              </w:rPr>
              <w:t>6,868,498</w:t>
            </w:r>
          </w:p>
        </w:tc>
        <w:tc>
          <w:tcPr>
            <w:tcW w:w="120" w:type="dxa"/>
            <w:vAlign w:val="bottom"/>
            <w:tcBorders>
              <w:bottom w:val="single" w:sz="8" w:color="CCEEFF"/>
            </w:tcBorders>
          </w:tcPr>
          <w:p>
            <w:pPr>
              <w:spacing w:after="0"/>
              <w:rPr>
                <w:sz w:val="9"/>
                <w:szCs w:val="9"/>
                <w:color w:val="auto"/>
              </w:rPr>
            </w:pPr>
          </w:p>
        </w:tc>
        <w:tc>
          <w:tcPr>
            <w:tcW w:w="100" w:type="dxa"/>
            <w:vAlign w:val="bottom"/>
            <w:tcBorders>
              <w:bottom w:val="single" w:sz="8" w:color="CCEEFF"/>
            </w:tcBorders>
          </w:tcPr>
          <w:p>
            <w:pPr>
              <w:spacing w:after="0"/>
              <w:rPr>
                <w:sz w:val="9"/>
                <w:szCs w:val="9"/>
                <w:color w:val="auto"/>
              </w:rPr>
            </w:pPr>
          </w:p>
        </w:tc>
        <w:tc>
          <w:tcPr>
            <w:tcW w:w="60" w:type="dxa"/>
            <w:vAlign w:val="bottom"/>
            <w:tcBorders>
              <w:bottom w:val="single" w:sz="8" w:color="CCEEFF"/>
            </w:tcBorders>
          </w:tcPr>
          <w:p>
            <w:pPr>
              <w:spacing w:after="0"/>
              <w:rPr>
                <w:sz w:val="9"/>
                <w:szCs w:val="9"/>
                <w:color w:val="auto"/>
              </w:rPr>
            </w:pPr>
          </w:p>
        </w:tc>
        <w:tc>
          <w:tcPr>
            <w:tcW w:w="72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780" w:type="dxa"/>
            <w:vAlign w:val="bottom"/>
            <w:tcBorders>
              <w:bottom w:val="single" w:sz="8" w:color="CCEEFF"/>
            </w:tcBorders>
          </w:tcPr>
          <w:p>
            <w:pPr>
              <w:spacing w:after="0"/>
              <w:rPr>
                <w:sz w:val="9"/>
                <w:szCs w:val="9"/>
                <w:color w:val="auto"/>
              </w:rPr>
            </w:pPr>
          </w:p>
        </w:tc>
        <w:tc>
          <w:tcPr>
            <w:tcW w:w="120" w:type="dxa"/>
            <w:vAlign w:val="bottom"/>
            <w:tcBorders>
              <w:bottom w:val="single" w:sz="8" w:color="CCEEFF"/>
            </w:tcBorders>
          </w:tcPr>
          <w:p>
            <w:pPr>
              <w:spacing w:after="0"/>
              <w:rPr>
                <w:sz w:val="9"/>
                <w:szCs w:val="9"/>
                <w:color w:val="auto"/>
              </w:rPr>
            </w:pP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22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20" w:type="dxa"/>
            <w:vAlign w:val="bottom"/>
            <w:vMerge w:val="continue"/>
          </w:tcPr>
          <w:p>
            <w:pPr>
              <w:spacing w:after="0"/>
              <w:rPr>
                <w:sz w:val="10"/>
                <w:szCs w:val="10"/>
                <w:color w:val="auto"/>
              </w:rPr>
            </w:pPr>
          </w:p>
        </w:tc>
        <w:tc>
          <w:tcPr>
            <w:tcW w:w="2240" w:type="dxa"/>
            <w:vAlign w:val="bottom"/>
          </w:tcPr>
          <w:p>
            <w:pPr>
              <w:spacing w:after="0" w:line="122" w:lineRule="exact"/>
              <w:rPr>
                <w:sz w:val="20"/>
                <w:szCs w:val="20"/>
                <w:color w:val="auto"/>
              </w:rPr>
            </w:pPr>
            <w:r>
              <w:rPr>
                <w:rFonts w:ascii="Arial" w:cs="Arial" w:eastAsia="Arial" w:hAnsi="Arial"/>
                <w:sz w:val="11"/>
                <w:szCs w:val="11"/>
                <w:color w:val="auto"/>
              </w:rPr>
              <w:t>NET INTEREST SPREAD</w:t>
            </w: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40" w:type="dxa"/>
            <w:vAlign w:val="bottom"/>
            <w:gridSpan w:val="2"/>
          </w:tcPr>
          <w:p>
            <w:pPr>
              <w:ind w:left="580"/>
              <w:spacing w:after="0" w:line="122" w:lineRule="exact"/>
              <w:rPr>
                <w:sz w:val="20"/>
                <w:szCs w:val="20"/>
                <w:color w:val="auto"/>
              </w:rPr>
            </w:pPr>
            <w:r>
              <w:rPr>
                <w:rFonts w:ascii="Arial" w:cs="Arial" w:eastAsia="Arial" w:hAnsi="Arial"/>
                <w:sz w:val="11"/>
                <w:szCs w:val="11"/>
                <w:color w:val="auto"/>
              </w:rPr>
              <w:t>1.11%</w:t>
            </w: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00" w:type="dxa"/>
            <w:vAlign w:val="bottom"/>
            <w:gridSpan w:val="2"/>
          </w:tcPr>
          <w:p>
            <w:pPr>
              <w:ind w:left="340"/>
              <w:spacing w:after="0" w:line="122" w:lineRule="exact"/>
              <w:rPr>
                <w:sz w:val="20"/>
                <w:szCs w:val="20"/>
                <w:color w:val="auto"/>
              </w:rPr>
            </w:pPr>
            <w:r>
              <w:rPr>
                <w:rFonts w:ascii="Arial" w:cs="Arial" w:eastAsia="Arial" w:hAnsi="Arial"/>
                <w:sz w:val="11"/>
                <w:szCs w:val="11"/>
                <w:color w:val="auto"/>
              </w:rPr>
              <w:t>1.04%</w:t>
            </w: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gridSpan w:val="2"/>
          </w:tcPr>
          <w:p>
            <w:pPr>
              <w:ind w:left="580"/>
              <w:spacing w:after="0" w:line="122" w:lineRule="exact"/>
              <w:rPr>
                <w:sz w:val="20"/>
                <w:szCs w:val="20"/>
                <w:color w:val="auto"/>
              </w:rPr>
            </w:pPr>
            <w:r>
              <w:rPr>
                <w:rFonts w:ascii="Arial" w:cs="Arial" w:eastAsia="Arial" w:hAnsi="Arial"/>
                <w:sz w:val="11"/>
                <w:szCs w:val="11"/>
                <w:color w:val="auto"/>
                <w:w w:val="96"/>
              </w:rPr>
              <w:t>1.01%</w:t>
            </w: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224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720" w:type="dxa"/>
            <w:vAlign w:val="bottom"/>
            <w:tcBorders>
              <w:top w:val="single" w:sz="8" w:color="CCEEFF"/>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CCEEFF"/>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24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72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20" w:type="dxa"/>
            <w:vAlign w:val="bottom"/>
            <w:vMerge w:val="continue"/>
          </w:tcPr>
          <w:p>
            <w:pPr>
              <w:spacing w:after="0"/>
              <w:rPr>
                <w:sz w:val="9"/>
                <w:szCs w:val="9"/>
                <w:color w:val="auto"/>
              </w:rPr>
            </w:pPr>
          </w:p>
        </w:tc>
        <w:tc>
          <w:tcPr>
            <w:tcW w:w="2240" w:type="dxa"/>
            <w:vAlign w:val="bottom"/>
          </w:tcPr>
          <w:p>
            <w:pPr>
              <w:spacing w:after="0" w:line="109" w:lineRule="exact"/>
              <w:rPr>
                <w:sz w:val="20"/>
                <w:szCs w:val="20"/>
                <w:color w:val="auto"/>
              </w:rPr>
            </w:pPr>
            <w:r>
              <w:rPr>
                <w:rFonts w:ascii="Arial" w:cs="Arial" w:eastAsia="Arial" w:hAnsi="Arial"/>
                <w:sz w:val="11"/>
                <w:szCs w:val="11"/>
                <w:color w:val="auto"/>
              </w:rPr>
              <w:t>NET INTEREST INCOME AND NET</w:t>
            </w: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240" w:type="dxa"/>
            <w:vAlign w:val="bottom"/>
          </w:tcPr>
          <w:p>
            <w:pPr>
              <w:spacing w:after="0"/>
              <w:rPr>
                <w:sz w:val="9"/>
                <w:szCs w:val="9"/>
                <w:color w:val="auto"/>
              </w:rPr>
            </w:pPr>
          </w:p>
        </w:tc>
        <w:tc>
          <w:tcPr>
            <w:tcW w:w="60" w:type="dxa"/>
            <w:vAlign w:val="bottom"/>
          </w:tcPr>
          <w:p>
            <w:pPr>
              <w:spacing w:after="0"/>
              <w:rPr>
                <w:sz w:val="9"/>
                <w:szCs w:val="9"/>
                <w:color w:val="auto"/>
              </w:rPr>
            </w:pPr>
          </w:p>
        </w:tc>
        <w:tc>
          <w:tcPr>
            <w:tcW w:w="740" w:type="dxa"/>
            <w:vAlign w:val="bottom"/>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72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2260" w:type="dxa"/>
            <w:vAlign w:val="bottom"/>
            <w:gridSpan w:val="2"/>
          </w:tcPr>
          <w:p>
            <w:pPr>
              <w:spacing w:after="0"/>
              <w:rPr>
                <w:sz w:val="20"/>
                <w:szCs w:val="20"/>
                <w:color w:val="auto"/>
              </w:rPr>
            </w:pPr>
            <w:r>
              <w:rPr>
                <w:rFonts w:ascii="Arial" w:cs="Arial" w:eastAsia="Arial" w:hAnsi="Arial"/>
                <w:sz w:val="11"/>
                <w:szCs w:val="11"/>
                <w:color w:val="auto"/>
              </w:rPr>
              <w:t>INTEREST MARGIN</w:t>
            </w: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240"/>
              <w:spacing w:after="0"/>
              <w:rPr>
                <w:sz w:val="20"/>
                <w:szCs w:val="20"/>
                <w:color w:val="auto"/>
              </w:rPr>
            </w:pPr>
            <w:r>
              <w:rPr>
                <w:rFonts w:ascii="Arial" w:cs="Arial" w:eastAsia="Arial" w:hAnsi="Arial"/>
                <w:sz w:val="11"/>
                <w:szCs w:val="11"/>
                <w:color w:val="auto"/>
              </w:rPr>
              <w:t>20,998</w:t>
            </w:r>
          </w:p>
        </w:tc>
        <w:tc>
          <w:tcPr>
            <w:tcW w:w="940" w:type="dxa"/>
            <w:vAlign w:val="bottom"/>
            <w:gridSpan w:val="2"/>
          </w:tcPr>
          <w:p>
            <w:pPr>
              <w:ind w:left="580"/>
              <w:spacing w:after="0"/>
              <w:rPr>
                <w:sz w:val="20"/>
                <w:szCs w:val="20"/>
                <w:color w:val="auto"/>
              </w:rPr>
            </w:pPr>
            <w:r>
              <w:rPr>
                <w:rFonts w:ascii="Arial" w:cs="Arial" w:eastAsia="Arial" w:hAnsi="Arial"/>
                <w:sz w:val="11"/>
                <w:szCs w:val="11"/>
                <w:color w:val="auto"/>
              </w:rPr>
              <w:t>1.27%</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20" w:type="dxa"/>
            <w:vAlign w:val="bottom"/>
            <w:gridSpan w:val="2"/>
          </w:tcPr>
          <w:p>
            <w:pPr>
              <w:jc w:val="right"/>
              <w:spacing w:after="0"/>
              <w:rPr>
                <w:sz w:val="20"/>
                <w:szCs w:val="20"/>
                <w:color w:val="auto"/>
              </w:rPr>
            </w:pPr>
            <w:r>
              <w:rPr>
                <w:rFonts w:ascii="Arial" w:cs="Arial" w:eastAsia="Arial" w:hAnsi="Arial"/>
                <w:sz w:val="11"/>
                <w:szCs w:val="11"/>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1"/>
                <w:szCs w:val="11"/>
                <w:color w:val="auto"/>
              </w:rPr>
              <w:t>18,895</w:t>
            </w:r>
          </w:p>
        </w:tc>
        <w:tc>
          <w:tcPr>
            <w:tcW w:w="240" w:type="dxa"/>
            <w:vAlign w:val="bottom"/>
          </w:tcPr>
          <w:p>
            <w:pPr>
              <w:spacing w:after="0"/>
              <w:rPr>
                <w:sz w:val="11"/>
                <w:szCs w:val="11"/>
                <w:color w:val="auto"/>
              </w:rPr>
            </w:pPr>
          </w:p>
        </w:tc>
        <w:tc>
          <w:tcPr>
            <w:tcW w:w="700" w:type="dxa"/>
            <w:vAlign w:val="bottom"/>
            <w:gridSpan w:val="2"/>
          </w:tcPr>
          <w:p>
            <w:pPr>
              <w:ind w:left="340"/>
              <w:spacing w:after="0"/>
              <w:rPr>
                <w:sz w:val="20"/>
                <w:szCs w:val="20"/>
                <w:color w:val="auto"/>
              </w:rPr>
            </w:pPr>
            <w:r>
              <w:rPr>
                <w:rFonts w:ascii="Arial" w:cs="Arial" w:eastAsia="Arial" w:hAnsi="Arial"/>
                <w:sz w:val="11"/>
                <w:szCs w:val="11"/>
                <w:color w:val="auto"/>
              </w:rPr>
              <w:t>1.24%</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gridSpan w:val="2"/>
          </w:tcPr>
          <w:p>
            <w:pPr>
              <w:jc w:val="right"/>
              <w:spacing w:after="0"/>
              <w:rPr>
                <w:sz w:val="20"/>
                <w:szCs w:val="20"/>
                <w:color w:val="auto"/>
              </w:rPr>
            </w:pPr>
            <w:r>
              <w:rPr>
                <w:rFonts w:ascii="Arial" w:cs="Arial" w:eastAsia="Arial" w:hAnsi="Arial"/>
                <w:sz w:val="11"/>
                <w:szCs w:val="11"/>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1"/>
                <w:szCs w:val="11"/>
                <w:color w:val="auto"/>
              </w:rPr>
              <w:t>21,723</w:t>
            </w:r>
          </w:p>
        </w:tc>
        <w:tc>
          <w:tcPr>
            <w:tcW w:w="900" w:type="dxa"/>
            <w:vAlign w:val="bottom"/>
            <w:gridSpan w:val="2"/>
          </w:tcPr>
          <w:p>
            <w:pPr>
              <w:ind w:left="580"/>
              <w:spacing w:after="0"/>
              <w:rPr>
                <w:sz w:val="20"/>
                <w:szCs w:val="20"/>
                <w:color w:val="auto"/>
              </w:rPr>
            </w:pPr>
            <w:r>
              <w:rPr>
                <w:rFonts w:ascii="Arial" w:cs="Arial" w:eastAsia="Arial" w:hAnsi="Arial"/>
                <w:sz w:val="11"/>
                <w:szCs w:val="11"/>
                <w:color w:val="auto"/>
                <w:w w:val="96"/>
              </w:rPr>
              <w:t>1.28%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181" w:lineRule="exact"/>
        <w:rPr>
          <w:sz w:val="20"/>
          <w:szCs w:val="20"/>
          <w:color w:val="auto"/>
        </w:rPr>
      </w:pPr>
    </w:p>
    <w:p>
      <w:pPr>
        <w:ind w:left="442" w:hanging="442"/>
        <w:spacing w:after="0"/>
        <w:tabs>
          <w:tab w:leader="none" w:pos="442" w:val="left"/>
        </w:tabs>
        <w:numPr>
          <w:ilvl w:val="0"/>
          <w:numId w:val="7"/>
        </w:numPr>
        <w:rPr>
          <w:rFonts w:ascii="Arial" w:cs="Arial" w:eastAsia="Arial" w:hAnsi="Arial"/>
          <w:sz w:val="27"/>
          <w:szCs w:val="27"/>
          <w:color w:val="auto"/>
          <w:vertAlign w:val="superscript"/>
        </w:rPr>
      </w:pPr>
      <w:r>
        <w:rPr>
          <w:rFonts w:ascii="Arial" w:cs="Arial" w:eastAsia="Arial" w:hAnsi="Arial"/>
          <w:sz w:val="16"/>
          <w:szCs w:val="16"/>
          <w:color w:val="auto"/>
        </w:rPr>
        <w:t>Gross of the allowance for losses relating to securities at amortized cost.</w:t>
      </w:r>
    </w:p>
    <w:p>
      <w:pPr>
        <w:spacing w:after="0" w:line="38" w:lineRule="exact"/>
        <w:rPr>
          <w:rFonts w:ascii="Arial" w:cs="Arial" w:eastAsia="Arial" w:hAnsi="Arial"/>
          <w:sz w:val="27"/>
          <w:szCs w:val="27"/>
          <w:color w:val="auto"/>
          <w:vertAlign w:val="superscript"/>
        </w:rPr>
      </w:pPr>
    </w:p>
    <w:p>
      <w:pPr>
        <w:ind w:left="442" w:hanging="442"/>
        <w:spacing w:after="0" w:line="183" w:lineRule="auto"/>
        <w:tabs>
          <w:tab w:leader="none" w:pos="442" w:val="left"/>
        </w:tabs>
        <w:numPr>
          <w:ilvl w:val="0"/>
          <w:numId w:val="7"/>
        </w:numPr>
        <w:rPr>
          <w:rFonts w:ascii="Arial" w:cs="Arial" w:eastAsia="Arial" w:hAnsi="Arial"/>
          <w:sz w:val="22"/>
          <w:szCs w:val="22"/>
          <w:color w:val="auto"/>
          <w:vertAlign w:val="superscript"/>
        </w:rPr>
      </w:pPr>
      <w:r>
        <w:rPr>
          <w:rFonts w:ascii="Arial" w:cs="Arial" w:eastAsia="Arial" w:hAnsi="Arial"/>
          <w:sz w:val="14"/>
          <w:szCs w:val="14"/>
          <w:color w:val="auto"/>
        </w:rPr>
        <w:t>Includes lease liabilities, net of prepaid commissions.</w:t>
      </w:r>
    </w:p>
    <w:p>
      <w:pPr>
        <w:spacing w:after="0" w:line="2" w:lineRule="exact"/>
        <w:rPr>
          <w:rFonts w:ascii="Arial" w:cs="Arial" w:eastAsia="Arial" w:hAnsi="Arial"/>
          <w:sz w:val="22"/>
          <w:szCs w:val="22"/>
          <w:color w:val="auto"/>
          <w:vertAlign w:val="superscript"/>
        </w:rPr>
      </w:pPr>
    </w:p>
    <w:p>
      <w:pPr>
        <w:ind w:left="442"/>
        <w:spacing w:after="0"/>
        <w:rPr>
          <w:rFonts w:ascii="Arial" w:cs="Arial" w:eastAsia="Arial" w:hAnsi="Arial"/>
          <w:sz w:val="22"/>
          <w:szCs w:val="22"/>
          <w:color w:val="auto"/>
          <w:vertAlign w:val="superscript"/>
        </w:rPr>
      </w:pPr>
      <w:r>
        <w:rPr>
          <w:rFonts w:ascii="Arial" w:cs="Arial" w:eastAsia="Arial" w:hAnsi="Arial"/>
          <w:sz w:val="16"/>
          <w:szCs w:val="16"/>
          <w:color w:val="auto"/>
        </w:rPr>
        <w:t>Note: Interest income and/or expense includes the effect of derivative financial instruments used for hedging.</w:t>
      </w:r>
    </w:p>
    <w:p>
      <w:pPr>
        <w:spacing w:after="0" w:line="38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8280" w:type="dxa"/>
            <w:vAlign w:val="bottom"/>
            <w:gridSpan w:val="12"/>
            <w:vMerge w:val="restart"/>
          </w:tcPr>
          <w:p>
            <w:pPr>
              <w:ind w:left="3020"/>
              <w:spacing w:after="0"/>
              <w:rPr>
                <w:sz w:val="20"/>
                <w:szCs w:val="20"/>
                <w:color w:val="auto"/>
              </w:rPr>
            </w:pPr>
            <w:r>
              <w:rPr>
                <w:rFonts w:ascii="Arial" w:cs="Arial" w:eastAsia="Arial" w:hAnsi="Arial"/>
                <w:sz w:val="16"/>
                <w:szCs w:val="16"/>
                <w:color w:val="auto"/>
                <w:w w:val="99"/>
              </w:rPr>
              <w:t>CONSOLIDATED NET INTEREST INCOME AND AVERAGE BALANCES</w:t>
            </w: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gridSpan w:val="3"/>
          </w:tcPr>
          <w:p>
            <w:pPr>
              <w:ind w:left="100"/>
              <w:spacing w:after="0"/>
              <w:rPr>
                <w:sz w:val="20"/>
                <w:szCs w:val="20"/>
                <w:color w:val="auto"/>
              </w:rPr>
            </w:pPr>
            <w:r>
              <w:rPr>
                <w:rFonts w:ascii="Arial" w:cs="Arial" w:eastAsia="Arial" w:hAnsi="Arial"/>
                <w:sz w:val="16"/>
                <w:szCs w:val="16"/>
                <w:color w:val="auto"/>
              </w:rPr>
              <w:t>EXHIBIT V</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8280" w:type="dxa"/>
            <w:vAlign w:val="bottom"/>
            <w:gridSpan w:val="12"/>
            <w:vMerge w:val="continue"/>
          </w:tcPr>
          <w:p>
            <w:pPr>
              <w:spacing w:after="0"/>
              <w:rPr>
                <w:sz w:val="16"/>
                <w:szCs w:val="16"/>
                <w:color w:val="auto"/>
              </w:rPr>
            </w:pP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77"/>
        </w:trPr>
        <w:tc>
          <w:tcPr>
            <w:tcW w:w="2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gridSpan w:val="7"/>
          </w:tcPr>
          <w:p>
            <w:pPr>
              <w:jc w:val="right"/>
              <w:ind w:right="20"/>
              <w:spacing w:after="0"/>
              <w:rPr>
                <w:sz w:val="20"/>
                <w:szCs w:val="20"/>
                <w:color w:val="auto"/>
              </w:rPr>
            </w:pPr>
            <w:r>
              <w:rPr>
                <w:rFonts w:ascii="Arial" w:cs="Arial" w:eastAsia="Arial" w:hAnsi="Arial"/>
                <w:sz w:val="15"/>
                <w:szCs w:val="15"/>
                <w:color w:val="auto"/>
                <w:w w:val="94"/>
              </w:rPr>
              <w:t>FOR THE SIX MONTHS ENDED</w:t>
            </w: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20" w:type="dxa"/>
            <w:vAlign w:val="bottom"/>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6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920" w:type="dxa"/>
            <w:vAlign w:val="bottom"/>
            <w:tcBorders>
              <w:bottom w:val="single" w:sz="8" w:color="auto"/>
            </w:tcBorders>
            <w:gridSpan w:val="4"/>
          </w:tcPr>
          <w:p>
            <w:pPr>
              <w:ind w:left="60"/>
              <w:spacing w:after="0"/>
              <w:rPr>
                <w:sz w:val="20"/>
                <w:szCs w:val="20"/>
                <w:color w:val="auto"/>
              </w:rPr>
            </w:pPr>
            <w:r>
              <w:rPr>
                <w:rFonts w:ascii="Arial" w:cs="Arial" w:eastAsia="Arial" w:hAnsi="Arial"/>
                <w:sz w:val="15"/>
                <w:szCs w:val="15"/>
                <w:color w:val="auto"/>
                <w:w w:val="88"/>
              </w:rPr>
              <w:t>June 30, 2021</w:t>
            </w:r>
          </w:p>
        </w:tc>
        <w:tc>
          <w:tcPr>
            <w:tcW w:w="180" w:type="dxa"/>
            <w:vAlign w:val="bottom"/>
            <w:tcBorders>
              <w:bottom w:val="single" w:sz="8" w:color="auto"/>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1060" w:type="dxa"/>
            <w:vAlign w:val="bottom"/>
            <w:tcBorders>
              <w:bottom w:val="single" w:sz="8" w:color="auto"/>
            </w:tcBorders>
            <w:gridSpan w:val="4"/>
          </w:tcPr>
          <w:p>
            <w:pPr>
              <w:ind w:left="40"/>
              <w:spacing w:after="0"/>
              <w:rPr>
                <w:sz w:val="20"/>
                <w:szCs w:val="20"/>
                <w:color w:val="auto"/>
              </w:rPr>
            </w:pPr>
            <w:r>
              <w:rPr>
                <w:rFonts w:ascii="Arial" w:cs="Arial" w:eastAsia="Arial" w:hAnsi="Arial"/>
                <w:sz w:val="15"/>
                <w:szCs w:val="15"/>
                <w:color w:val="auto"/>
              </w:rPr>
              <w:t>June 30, 2020</w:t>
            </w:r>
          </w:p>
        </w:tc>
        <w:tc>
          <w:tcPr>
            <w:tcW w:w="78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9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40" w:type="dxa"/>
            <w:vAlign w:val="bottom"/>
            <w:gridSpan w:val="3"/>
          </w:tcPr>
          <w:p>
            <w:pPr>
              <w:jc w:val="right"/>
              <w:ind w:right="200"/>
              <w:spacing w:after="0" w:line="167" w:lineRule="exact"/>
              <w:rPr>
                <w:sz w:val="20"/>
                <w:szCs w:val="20"/>
                <w:color w:val="auto"/>
              </w:rPr>
            </w:pPr>
            <w:r>
              <w:rPr>
                <w:rFonts w:ascii="Arial" w:cs="Arial" w:eastAsia="Arial" w:hAnsi="Arial"/>
                <w:sz w:val="15"/>
                <w:szCs w:val="15"/>
                <w:color w:val="auto"/>
                <w:w w:val="99"/>
              </w:rPr>
              <w:t>AVERAGE</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tcPr>
          <w:p>
            <w:pPr>
              <w:ind w:left="220"/>
              <w:spacing w:after="0" w:line="167" w:lineRule="exact"/>
              <w:rPr>
                <w:sz w:val="20"/>
                <w:szCs w:val="20"/>
                <w:color w:val="auto"/>
              </w:rPr>
            </w:pPr>
            <w:r>
              <w:rPr>
                <w:rFonts w:ascii="Arial" w:cs="Arial" w:eastAsia="Arial" w:hAnsi="Arial"/>
                <w:sz w:val="15"/>
                <w:szCs w:val="15"/>
                <w:color w:val="auto"/>
              </w:rPr>
              <w:t>AVG.</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gridSpan w:val="3"/>
          </w:tcPr>
          <w:p>
            <w:pPr>
              <w:jc w:val="right"/>
              <w:ind w:right="200"/>
              <w:spacing w:after="0" w:line="167" w:lineRule="exact"/>
              <w:rPr>
                <w:sz w:val="20"/>
                <w:szCs w:val="20"/>
                <w:color w:val="auto"/>
              </w:rPr>
            </w:pPr>
            <w:r>
              <w:rPr>
                <w:rFonts w:ascii="Arial" w:cs="Arial" w:eastAsia="Arial" w:hAnsi="Arial"/>
                <w:sz w:val="15"/>
                <w:szCs w:val="15"/>
                <w:color w:val="auto"/>
                <w:w w:val="99"/>
              </w:rPr>
              <w:t>AVERAGE</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ind w:left="240"/>
              <w:spacing w:after="0" w:line="167" w:lineRule="exact"/>
              <w:rPr>
                <w:sz w:val="20"/>
                <w:szCs w:val="20"/>
                <w:color w:val="auto"/>
              </w:rPr>
            </w:pPr>
            <w:r>
              <w:rPr>
                <w:rFonts w:ascii="Arial" w:cs="Arial" w:eastAsia="Arial" w:hAnsi="Arial"/>
                <w:sz w:val="15"/>
                <w:szCs w:val="15"/>
                <w:color w:val="auto"/>
              </w:rPr>
              <w:t>AVG.</w:t>
            </w:r>
          </w:p>
        </w:tc>
        <w:tc>
          <w:tcPr>
            <w:tcW w:w="16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9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20" w:type="dxa"/>
            <w:vAlign w:val="bottom"/>
            <w:tcBorders>
              <w:bottom w:val="single" w:sz="8" w:color="auto"/>
            </w:tcBorders>
            <w:gridSpan w:val="2"/>
          </w:tcPr>
          <w:p>
            <w:pPr>
              <w:jc w:val="right"/>
              <w:spacing w:after="0"/>
              <w:rPr>
                <w:sz w:val="20"/>
                <w:szCs w:val="20"/>
                <w:color w:val="auto"/>
              </w:rPr>
            </w:pPr>
            <w:r>
              <w:rPr>
                <w:rFonts w:ascii="Arial" w:cs="Arial" w:eastAsia="Arial" w:hAnsi="Arial"/>
                <w:sz w:val="15"/>
                <w:szCs w:val="15"/>
                <w:color w:val="auto"/>
              </w:rPr>
              <w:t>BALANCE</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Borders>
              <w:bottom w:val="single" w:sz="8" w:color="auto"/>
            </w:tcBorders>
            <w:gridSpan w:val="2"/>
          </w:tcPr>
          <w:p>
            <w:pPr>
              <w:jc w:val="right"/>
              <w:spacing w:after="0"/>
              <w:rPr>
                <w:sz w:val="20"/>
                <w:szCs w:val="20"/>
                <w:color w:val="auto"/>
              </w:rPr>
            </w:pPr>
            <w:r>
              <w:rPr>
                <w:rFonts w:ascii="Arial" w:cs="Arial" w:eastAsia="Arial" w:hAnsi="Arial"/>
                <w:sz w:val="15"/>
                <w:szCs w:val="15"/>
                <w:color w:val="auto"/>
                <w:w w:val="94"/>
              </w:rPr>
              <w:t>INTEREST</w:t>
            </w: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80" w:type="dxa"/>
            <w:vAlign w:val="bottom"/>
            <w:tcBorders>
              <w:bottom w:val="single" w:sz="8" w:color="auto"/>
            </w:tcBorders>
          </w:tcPr>
          <w:p>
            <w:pPr>
              <w:ind w:left="200"/>
              <w:spacing w:after="0"/>
              <w:rPr>
                <w:sz w:val="20"/>
                <w:szCs w:val="20"/>
                <w:color w:val="auto"/>
              </w:rPr>
            </w:pPr>
            <w:r>
              <w:rPr>
                <w:rFonts w:ascii="Arial" w:cs="Arial" w:eastAsia="Arial" w:hAnsi="Arial"/>
                <w:sz w:val="15"/>
                <w:szCs w:val="15"/>
                <w:color w:val="auto"/>
              </w:rPr>
              <w:t>RATE</w:t>
            </w: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780" w:type="dxa"/>
            <w:vAlign w:val="bottom"/>
            <w:tcBorders>
              <w:bottom w:val="single" w:sz="8" w:color="auto"/>
            </w:tcBorders>
            <w:gridSpan w:val="2"/>
          </w:tcPr>
          <w:p>
            <w:pPr>
              <w:jc w:val="right"/>
              <w:spacing w:after="0"/>
              <w:rPr>
                <w:sz w:val="20"/>
                <w:szCs w:val="20"/>
                <w:color w:val="auto"/>
              </w:rPr>
            </w:pPr>
            <w:r>
              <w:rPr>
                <w:rFonts w:ascii="Arial" w:cs="Arial" w:eastAsia="Arial" w:hAnsi="Arial"/>
                <w:sz w:val="15"/>
                <w:szCs w:val="15"/>
                <w:color w:val="auto"/>
              </w:rPr>
              <w:t>BALANCE</w:t>
            </w: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780" w:type="dxa"/>
            <w:vAlign w:val="bottom"/>
            <w:tcBorders>
              <w:bottom w:val="single" w:sz="8" w:color="auto"/>
            </w:tcBorders>
            <w:gridSpan w:val="2"/>
          </w:tcPr>
          <w:p>
            <w:pPr>
              <w:ind w:left="60"/>
              <w:spacing w:after="0"/>
              <w:rPr>
                <w:sz w:val="20"/>
                <w:szCs w:val="20"/>
                <w:color w:val="auto"/>
              </w:rPr>
            </w:pPr>
            <w:r>
              <w:rPr>
                <w:rFonts w:ascii="Arial" w:cs="Arial" w:eastAsia="Arial" w:hAnsi="Arial"/>
                <w:sz w:val="15"/>
                <w:szCs w:val="15"/>
                <w:color w:val="auto"/>
                <w:w w:val="94"/>
              </w:rPr>
              <w:t>INTEREST</w:t>
            </w:r>
          </w:p>
        </w:tc>
        <w:tc>
          <w:tcPr>
            <w:tcW w:w="220" w:type="dxa"/>
            <w:vAlign w:val="bottom"/>
          </w:tcPr>
          <w:p>
            <w:pPr>
              <w:spacing w:after="0"/>
              <w:rPr>
                <w:sz w:val="16"/>
                <w:szCs w:val="16"/>
                <w:color w:val="auto"/>
              </w:rPr>
            </w:pPr>
          </w:p>
        </w:tc>
        <w:tc>
          <w:tcPr>
            <w:tcW w:w="780" w:type="dxa"/>
            <w:vAlign w:val="bottom"/>
            <w:tcBorders>
              <w:bottom w:val="single" w:sz="8" w:color="auto"/>
            </w:tcBorders>
          </w:tcPr>
          <w:p>
            <w:pPr>
              <w:ind w:left="220"/>
              <w:spacing w:after="0"/>
              <w:rPr>
                <w:sz w:val="20"/>
                <w:szCs w:val="20"/>
                <w:color w:val="auto"/>
              </w:rPr>
            </w:pPr>
            <w:r>
              <w:rPr>
                <w:rFonts w:ascii="Arial" w:cs="Arial" w:eastAsia="Arial" w:hAnsi="Arial"/>
                <w:sz w:val="15"/>
                <w:szCs w:val="15"/>
                <w:color w:val="auto"/>
              </w:rPr>
              <w:t>RATE</w:t>
            </w:r>
          </w:p>
        </w:tc>
        <w:tc>
          <w:tcPr>
            <w:tcW w:w="1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185"/>
        </w:trPr>
        <w:tc>
          <w:tcPr>
            <w:tcW w:w="20" w:type="dxa"/>
            <w:vAlign w:val="bottom"/>
          </w:tcPr>
          <w:p>
            <w:pPr>
              <w:spacing w:after="0"/>
              <w:rPr>
                <w:sz w:val="16"/>
                <w:szCs w:val="16"/>
                <w:color w:val="auto"/>
              </w:rPr>
            </w:pPr>
          </w:p>
        </w:tc>
        <w:tc>
          <w:tcPr>
            <w:tcW w:w="49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940" w:type="dxa"/>
            <w:vAlign w:val="bottom"/>
            <w:gridSpan w:val="6"/>
          </w:tcPr>
          <w:p>
            <w:pPr>
              <w:jc w:val="right"/>
              <w:ind w:right="520"/>
              <w:spacing w:after="0"/>
              <w:rPr>
                <w:sz w:val="20"/>
                <w:szCs w:val="20"/>
                <w:color w:val="auto"/>
              </w:rPr>
            </w:pPr>
            <w:r>
              <w:rPr>
                <w:rFonts w:ascii="Arial" w:cs="Arial" w:eastAsia="Arial" w:hAnsi="Arial"/>
                <w:sz w:val="15"/>
                <w:szCs w:val="15"/>
                <w:color w:val="auto"/>
              </w:rPr>
              <w:t>(In US$ thousand)</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INTEREST EARNING ASSETS</w:t>
            </w:r>
          </w:p>
        </w:tc>
        <w:tc>
          <w:tcPr>
            <w:tcW w:w="3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6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tcPr>
          <w:p>
            <w:pPr>
              <w:spacing w:after="0"/>
              <w:rPr>
                <w:sz w:val="20"/>
                <w:szCs w:val="20"/>
                <w:color w:val="auto"/>
              </w:rPr>
            </w:pPr>
            <w:r>
              <w:rPr>
                <w:rFonts w:ascii="Arial" w:cs="Arial" w:eastAsia="Arial" w:hAnsi="Arial"/>
                <w:sz w:val="15"/>
                <w:szCs w:val="15"/>
                <w:color w:val="auto"/>
              </w:rPr>
              <w:t>Cash and due from banks</w:t>
            </w:r>
          </w:p>
        </w:tc>
        <w:tc>
          <w:tcPr>
            <w:tcW w:w="460" w:type="dxa"/>
            <w:vAlign w:val="bottom"/>
            <w:gridSpan w:val="2"/>
          </w:tcPr>
          <w:p>
            <w:pPr>
              <w:jc w:val="right"/>
              <w:ind w:right="7"/>
              <w:spacing w:after="0"/>
              <w:rPr>
                <w:sz w:val="20"/>
                <w:szCs w:val="20"/>
                <w:color w:val="auto"/>
              </w:rPr>
            </w:pPr>
            <w:r>
              <w:rPr>
                <w:rFonts w:ascii="Arial" w:cs="Arial" w:eastAsia="Arial" w:hAnsi="Arial"/>
                <w:sz w:val="15"/>
                <w:szCs w:val="15"/>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5"/>
                <w:szCs w:val="15"/>
                <w:color w:val="auto"/>
              </w:rPr>
              <w:t>918,016</w:t>
            </w:r>
          </w:p>
        </w:tc>
        <w:tc>
          <w:tcPr>
            <w:tcW w:w="320" w:type="dxa"/>
            <w:vAlign w:val="bottom"/>
            <w:gridSpan w:val="2"/>
          </w:tcPr>
          <w:p>
            <w:pPr>
              <w:jc w:val="right"/>
              <w:ind w:right="101"/>
              <w:spacing w:after="0"/>
              <w:rPr>
                <w:sz w:val="20"/>
                <w:szCs w:val="20"/>
                <w:color w:val="auto"/>
              </w:rPr>
            </w:pPr>
            <w:r>
              <w:rPr>
                <w:rFonts w:ascii="Arial" w:cs="Arial" w:eastAsia="Arial" w:hAnsi="Arial"/>
                <w:sz w:val="15"/>
                <w:szCs w:val="15"/>
                <w:color w:val="auto"/>
              </w:rPr>
              <w:t>$</w:t>
            </w:r>
          </w:p>
        </w:tc>
        <w:tc>
          <w:tcPr>
            <w:tcW w:w="600" w:type="dxa"/>
            <w:vAlign w:val="bottom"/>
            <w:gridSpan w:val="2"/>
          </w:tcPr>
          <w:p>
            <w:pPr>
              <w:jc w:val="right"/>
              <w:ind w:right="40"/>
              <w:spacing w:after="0"/>
              <w:rPr>
                <w:sz w:val="20"/>
                <w:szCs w:val="20"/>
                <w:color w:val="auto"/>
              </w:rPr>
            </w:pPr>
            <w:r>
              <w:rPr>
                <w:rFonts w:ascii="Arial" w:cs="Arial" w:eastAsia="Arial" w:hAnsi="Arial"/>
                <w:sz w:val="15"/>
                <w:szCs w:val="15"/>
                <w:color w:val="auto"/>
              </w:rPr>
              <w:t>617</w:t>
            </w:r>
          </w:p>
        </w:tc>
        <w:tc>
          <w:tcPr>
            <w:tcW w:w="1140" w:type="dxa"/>
            <w:vAlign w:val="bottom"/>
            <w:gridSpan w:val="3"/>
          </w:tcPr>
          <w:p>
            <w:pPr>
              <w:ind w:left="700"/>
              <w:spacing w:after="0"/>
              <w:rPr>
                <w:sz w:val="20"/>
                <w:szCs w:val="20"/>
                <w:color w:val="auto"/>
              </w:rPr>
            </w:pPr>
            <w:r>
              <w:rPr>
                <w:rFonts w:ascii="Arial" w:cs="Arial" w:eastAsia="Arial" w:hAnsi="Arial"/>
                <w:sz w:val="15"/>
                <w:szCs w:val="15"/>
                <w:color w:val="auto"/>
                <w:w w:val="98"/>
              </w:rPr>
              <w:t>0.13%</w:t>
            </w:r>
          </w:p>
        </w:tc>
        <w:tc>
          <w:tcPr>
            <w:tcW w:w="180" w:type="dxa"/>
            <w:vAlign w:val="bottom"/>
            <w:gridSpan w:val="2"/>
          </w:tcPr>
          <w:p>
            <w:pPr>
              <w:jc w:val="right"/>
              <w:spacing w:after="0"/>
              <w:rPr>
                <w:sz w:val="20"/>
                <w:szCs w:val="20"/>
                <w:color w:val="auto"/>
              </w:rPr>
            </w:pPr>
            <w:r>
              <w:rPr>
                <w:rFonts w:ascii="Arial" w:cs="Arial" w:eastAsia="Arial" w:hAnsi="Arial"/>
                <w:sz w:val="15"/>
                <w:szCs w:val="15"/>
                <w:color w:val="auto"/>
              </w:rPr>
              <w:t>$</w:t>
            </w:r>
          </w:p>
        </w:tc>
        <w:tc>
          <w:tcPr>
            <w:tcW w:w="800" w:type="dxa"/>
            <w:vAlign w:val="bottom"/>
            <w:gridSpan w:val="2"/>
          </w:tcPr>
          <w:p>
            <w:pPr>
              <w:jc w:val="right"/>
              <w:ind w:right="160"/>
              <w:spacing w:after="0"/>
              <w:rPr>
                <w:sz w:val="20"/>
                <w:szCs w:val="20"/>
                <w:color w:val="auto"/>
              </w:rPr>
            </w:pPr>
            <w:r>
              <w:rPr>
                <w:rFonts w:ascii="Arial" w:cs="Arial" w:eastAsia="Arial" w:hAnsi="Arial"/>
                <w:sz w:val="15"/>
                <w:szCs w:val="15"/>
                <w:color w:val="auto"/>
                <w:w w:val="92"/>
              </w:rPr>
              <w:t>1,371,730</w:t>
            </w:r>
          </w:p>
        </w:tc>
        <w:tc>
          <w:tcPr>
            <w:tcW w:w="260" w:type="dxa"/>
            <w:vAlign w:val="bottom"/>
            <w:gridSpan w:val="2"/>
          </w:tcPr>
          <w:p>
            <w:pPr>
              <w:ind w:left="60"/>
              <w:spacing w:after="0"/>
              <w:rPr>
                <w:sz w:val="20"/>
                <w:szCs w:val="20"/>
                <w:color w:val="auto"/>
              </w:rPr>
            </w:pPr>
            <w:r>
              <w:rPr>
                <w:rFonts w:ascii="Arial" w:cs="Arial" w:eastAsia="Arial" w:hAnsi="Arial"/>
                <w:sz w:val="15"/>
                <w:szCs w:val="15"/>
                <w:color w:val="auto"/>
              </w:rPr>
              <w:t>$</w:t>
            </w:r>
          </w:p>
        </w:tc>
        <w:tc>
          <w:tcPr>
            <w:tcW w:w="800" w:type="dxa"/>
            <w:vAlign w:val="bottom"/>
            <w:gridSpan w:val="2"/>
          </w:tcPr>
          <w:p>
            <w:pPr>
              <w:jc w:val="right"/>
              <w:ind w:right="220"/>
              <w:spacing w:after="0"/>
              <w:rPr>
                <w:sz w:val="20"/>
                <w:szCs w:val="20"/>
                <w:color w:val="auto"/>
              </w:rPr>
            </w:pPr>
            <w:r>
              <w:rPr>
                <w:rFonts w:ascii="Arial" w:cs="Arial" w:eastAsia="Arial" w:hAnsi="Arial"/>
                <w:sz w:val="15"/>
                <w:szCs w:val="15"/>
                <w:color w:val="auto"/>
              </w:rPr>
              <w:t>3,375</w:t>
            </w:r>
          </w:p>
        </w:tc>
        <w:tc>
          <w:tcPr>
            <w:tcW w:w="920" w:type="dxa"/>
            <w:vAlign w:val="bottom"/>
            <w:gridSpan w:val="2"/>
          </w:tcPr>
          <w:p>
            <w:pPr>
              <w:ind w:left="540"/>
              <w:spacing w:after="0"/>
              <w:rPr>
                <w:sz w:val="20"/>
                <w:szCs w:val="20"/>
                <w:color w:val="auto"/>
              </w:rPr>
            </w:pPr>
            <w:r>
              <w:rPr>
                <w:rFonts w:ascii="Arial" w:cs="Arial" w:eastAsia="Arial" w:hAnsi="Arial"/>
                <w:sz w:val="15"/>
                <w:szCs w:val="15"/>
                <w:color w:val="auto"/>
                <w:w w:val="84"/>
              </w:rPr>
              <w:t>0.49%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Securities at fair value through OCI</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rPr>
              <w:t>224,415</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453</w:t>
            </w: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rPr>
              <w:t>0.40</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rPr>
              <w:t>5,109</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31</w:t>
            </w: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rPr>
              <w:t>1.21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4980" w:type="dxa"/>
            <w:vAlign w:val="bottom"/>
          </w:tcPr>
          <w:p>
            <w:pPr>
              <w:spacing w:after="0" w:line="220" w:lineRule="exact"/>
              <w:rPr>
                <w:sz w:val="20"/>
                <w:szCs w:val="20"/>
                <w:color w:val="auto"/>
              </w:rPr>
            </w:pPr>
            <w:r>
              <w:rPr>
                <w:rFonts w:ascii="Arial" w:cs="Arial" w:eastAsia="Arial" w:hAnsi="Arial"/>
                <w:sz w:val="15"/>
                <w:szCs w:val="15"/>
                <w:color w:val="auto"/>
              </w:rPr>
              <w:t xml:space="preserve">Securities at amortized cost </w:t>
            </w:r>
            <w:r>
              <w:rPr>
                <w:rFonts w:ascii="Arial" w:cs="Arial" w:eastAsia="Arial" w:hAnsi="Arial"/>
                <w:sz w:val="24"/>
                <w:szCs w:val="24"/>
                <w:color w:val="auto"/>
                <w:vertAlign w:val="superscript"/>
              </w:rPr>
              <w:t>(1)</w:t>
            </w:r>
          </w:p>
        </w:tc>
        <w:tc>
          <w:tcPr>
            <w:tcW w:w="3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5"/>
                <w:szCs w:val="15"/>
                <w:color w:val="auto"/>
              </w:rPr>
              <w:t>201,162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5"/>
                <w:szCs w:val="15"/>
                <w:color w:val="auto"/>
              </w:rPr>
              <w:t>3,109</w:t>
            </w:r>
          </w:p>
        </w:tc>
        <w:tc>
          <w:tcPr>
            <w:tcW w:w="1140" w:type="dxa"/>
            <w:vAlign w:val="bottom"/>
            <w:gridSpan w:val="3"/>
          </w:tcPr>
          <w:p>
            <w:pPr>
              <w:ind w:left="700"/>
              <w:spacing w:after="0"/>
              <w:rPr>
                <w:sz w:val="20"/>
                <w:szCs w:val="20"/>
                <w:color w:val="auto"/>
              </w:rPr>
            </w:pPr>
            <w:r>
              <w:rPr>
                <w:rFonts w:ascii="Arial" w:cs="Arial" w:eastAsia="Arial" w:hAnsi="Arial"/>
                <w:sz w:val="15"/>
                <w:szCs w:val="15"/>
                <w:color w:val="auto"/>
              </w:rPr>
              <w:t>3.07</w:t>
            </w:r>
          </w:p>
        </w:tc>
        <w:tc>
          <w:tcPr>
            <w:tcW w:w="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0" w:type="dxa"/>
            <w:vAlign w:val="bottom"/>
            <w:gridSpan w:val="2"/>
          </w:tcPr>
          <w:p>
            <w:pPr>
              <w:jc w:val="right"/>
              <w:ind w:right="160"/>
              <w:spacing w:after="0"/>
              <w:rPr>
                <w:sz w:val="20"/>
                <w:szCs w:val="20"/>
                <w:color w:val="auto"/>
              </w:rPr>
            </w:pPr>
            <w:r>
              <w:rPr>
                <w:rFonts w:ascii="Arial" w:cs="Arial" w:eastAsia="Arial" w:hAnsi="Arial"/>
                <w:sz w:val="15"/>
                <w:szCs w:val="15"/>
                <w:color w:val="auto"/>
              </w:rPr>
              <w:t>71,807</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5"/>
                <w:szCs w:val="15"/>
                <w:color w:val="auto"/>
              </w:rPr>
              <w:t>1,286</w:t>
            </w:r>
          </w:p>
        </w:tc>
        <w:tc>
          <w:tcPr>
            <w:tcW w:w="920" w:type="dxa"/>
            <w:vAlign w:val="bottom"/>
            <w:gridSpan w:val="2"/>
          </w:tcPr>
          <w:p>
            <w:pPr>
              <w:ind w:left="540"/>
              <w:spacing w:after="0"/>
              <w:rPr>
                <w:sz w:val="20"/>
                <w:szCs w:val="20"/>
                <w:color w:val="auto"/>
              </w:rPr>
            </w:pPr>
            <w:r>
              <w:rPr>
                <w:rFonts w:ascii="Arial" w:cs="Arial" w:eastAsia="Arial" w:hAnsi="Arial"/>
                <w:sz w:val="15"/>
                <w:szCs w:val="15"/>
                <w:color w:val="auto"/>
              </w:rPr>
              <w:t>3.54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Loans, net of unearned interest</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w w:val="95"/>
              </w:rPr>
              <w:t>5,050,635</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62,903</w:t>
            </w: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rPr>
              <w:t>2.48</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w w:val="92"/>
              </w:rPr>
              <w:t>5,223,397</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98,804</w:t>
            </w: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rPr>
              <w:t>3.74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tcBorders>
              <w:bottom w:val="single" w:sz="8" w:color="CCEEFF"/>
            </w:tcBorders>
          </w:tcPr>
          <w:p>
            <w:pPr>
              <w:spacing w:after="0"/>
              <w:rPr>
                <w:sz w:val="15"/>
                <w:szCs w:val="15"/>
                <w:color w:val="auto"/>
              </w:rPr>
            </w:pPr>
          </w:p>
        </w:tc>
        <w:tc>
          <w:tcPr>
            <w:tcW w:w="3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60" w:type="dxa"/>
            <w:vAlign w:val="bottom"/>
            <w:tcBorders>
              <w:bottom w:val="single" w:sz="8" w:color="auto"/>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560" w:type="dxa"/>
            <w:vAlign w:val="bottom"/>
            <w:tcBorders>
              <w:bottom w:val="single" w:sz="8" w:color="auto"/>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8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180" w:type="dxa"/>
            <w:vAlign w:val="bottom"/>
            <w:tcBorders>
              <w:bottom w:val="single" w:sz="8" w:color="CCEEFF"/>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spacing w:after="0"/>
              <w:rPr>
                <w:sz w:val="15"/>
                <w:szCs w:val="15"/>
                <w:color w:val="auto"/>
              </w:rPr>
            </w:pPr>
          </w:p>
        </w:tc>
        <w:tc>
          <w:tcPr>
            <w:tcW w:w="160" w:type="dxa"/>
            <w:vAlign w:val="bottom"/>
            <w:tcBorders>
              <w:bottom w:val="single" w:sz="8" w:color="CCEEFF"/>
            </w:tcBorders>
          </w:tcPr>
          <w:p>
            <w:pPr>
              <w:spacing w:after="0"/>
              <w:rPr>
                <w:sz w:val="15"/>
                <w:szCs w:val="15"/>
                <w:color w:val="auto"/>
              </w:rPr>
            </w:pPr>
          </w:p>
        </w:tc>
        <w:tc>
          <w:tcPr>
            <w:tcW w:w="60" w:type="dxa"/>
            <w:vAlign w:val="bottom"/>
            <w:tcBorders>
              <w:bottom w:val="single" w:sz="8" w:color="CCEEFF"/>
            </w:tcBorders>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580" w:type="dxa"/>
            <w:vAlign w:val="bottom"/>
            <w:tcBorders>
              <w:bottom w:val="single" w:sz="8" w:color="auto"/>
            </w:tcBorders>
          </w:tcPr>
          <w:p>
            <w:pPr>
              <w:spacing w:after="0"/>
              <w:rPr>
                <w:sz w:val="15"/>
                <w:szCs w:val="15"/>
                <w:color w:val="auto"/>
              </w:rPr>
            </w:pPr>
          </w:p>
        </w:tc>
        <w:tc>
          <w:tcPr>
            <w:tcW w:w="22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4980" w:type="dxa"/>
            <w:vAlign w:val="bottom"/>
            <w:shd w:val="clear" w:color="auto" w:fill="CCEEFF"/>
          </w:tcPr>
          <w:p>
            <w:pPr>
              <w:spacing w:after="0" w:line="171" w:lineRule="exact"/>
              <w:rPr>
                <w:sz w:val="20"/>
                <w:szCs w:val="20"/>
                <w:color w:val="auto"/>
              </w:rPr>
            </w:pPr>
            <w:r>
              <w:rPr>
                <w:rFonts w:ascii="Arial" w:cs="Arial" w:eastAsia="Arial" w:hAnsi="Arial"/>
                <w:sz w:val="15"/>
                <w:szCs w:val="15"/>
                <w:color w:val="auto"/>
              </w:rPr>
              <w:t>TOTAL INTEREST EARNING ASSETS</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5"/>
                <w:szCs w:val="15"/>
                <w:color w:val="auto"/>
                <w:w w:val="95"/>
              </w:rPr>
              <w:t>6,394,229</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5"/>
                <w:szCs w:val="15"/>
                <w:color w:val="auto"/>
              </w:rPr>
              <w:t>67,082</w:t>
            </w: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5"/>
                <w:szCs w:val="15"/>
                <w:color w:val="auto"/>
                <w:w w:val="98"/>
              </w:rPr>
              <w:t>2.09%</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92"/>
              </w:rPr>
              <w:t>6,672,043</w:t>
            </w: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5"/>
                <w:szCs w:val="15"/>
                <w:color w:val="auto"/>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5"/>
                <w:szCs w:val="15"/>
                <w:color w:val="auto"/>
              </w:rPr>
              <w:t>103,496</w:t>
            </w:r>
          </w:p>
        </w:tc>
        <w:tc>
          <w:tcPr>
            <w:tcW w:w="220" w:type="dxa"/>
            <w:vAlign w:val="bottom"/>
            <w:shd w:val="clear" w:color="auto" w:fill="CCEEFF"/>
          </w:tcPr>
          <w:p>
            <w:pPr>
              <w:spacing w:after="0"/>
              <w:rPr>
                <w:sz w:val="15"/>
                <w:szCs w:val="15"/>
                <w:color w:val="auto"/>
              </w:rPr>
            </w:pP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w w:val="84"/>
              </w:rPr>
              <w:t>3.07%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5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Allowance for loan losses</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5"/>
                <w:szCs w:val="15"/>
                <w:color w:val="auto"/>
              </w:rPr>
              <w:t>(41,352)</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(93,611)</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tcPr>
          <w:p>
            <w:pPr>
              <w:spacing w:after="0"/>
              <w:rPr>
                <w:sz w:val="20"/>
                <w:szCs w:val="20"/>
                <w:color w:val="auto"/>
              </w:rPr>
            </w:pPr>
            <w:r>
              <w:rPr>
                <w:rFonts w:ascii="Arial" w:cs="Arial" w:eastAsia="Arial" w:hAnsi="Arial"/>
                <w:sz w:val="15"/>
                <w:szCs w:val="15"/>
                <w:color w:val="auto"/>
              </w:rPr>
              <w:t>Non interest earning assets</w:t>
            </w: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5"/>
                <w:szCs w:val="15"/>
                <w:color w:val="auto"/>
              </w:rPr>
              <w:t>151,200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0" w:type="dxa"/>
            <w:vAlign w:val="bottom"/>
            <w:gridSpan w:val="2"/>
          </w:tcPr>
          <w:p>
            <w:pPr>
              <w:jc w:val="right"/>
              <w:ind w:right="160"/>
              <w:spacing w:after="0"/>
              <w:rPr>
                <w:sz w:val="20"/>
                <w:szCs w:val="20"/>
                <w:color w:val="auto"/>
              </w:rPr>
            </w:pPr>
            <w:r>
              <w:rPr>
                <w:rFonts w:ascii="Arial" w:cs="Arial" w:eastAsia="Arial" w:hAnsi="Arial"/>
                <w:sz w:val="15"/>
                <w:szCs w:val="15"/>
                <w:color w:val="auto"/>
              </w:rPr>
              <w:t>142,310</w:t>
            </w: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160" w:type="dxa"/>
            <w:vAlign w:val="bottom"/>
            <w:tcBorders>
              <w:bottom w:val="single" w:sz="8" w:color="auto"/>
            </w:tcBorders>
            <w:shd w:val="clear" w:color="auto" w:fill="CCEEFF"/>
          </w:tcPr>
          <w:p>
            <w:pPr>
              <w:spacing w:after="0"/>
              <w:rPr>
                <w:sz w:val="15"/>
                <w:szCs w:val="15"/>
                <w:color w:val="auto"/>
              </w:rPr>
            </w:pPr>
          </w:p>
        </w:tc>
        <w:tc>
          <w:tcPr>
            <w:tcW w:w="660" w:type="dxa"/>
            <w:vAlign w:val="bottom"/>
            <w:tcBorders>
              <w:bottom w:val="single" w:sz="8" w:color="auto"/>
            </w:tcBorders>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640" w:type="dxa"/>
            <w:vAlign w:val="bottom"/>
            <w:tcBorders>
              <w:bottom w:val="single" w:sz="8" w:color="auto"/>
            </w:tcBorders>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5000" w:type="dxa"/>
            <w:vAlign w:val="bottom"/>
            <w:gridSpan w:val="2"/>
          </w:tcPr>
          <w:p>
            <w:pPr>
              <w:spacing w:after="0" w:line="171" w:lineRule="exact"/>
              <w:rPr>
                <w:sz w:val="20"/>
                <w:szCs w:val="20"/>
                <w:color w:val="auto"/>
              </w:rPr>
            </w:pPr>
            <w:r>
              <w:rPr>
                <w:rFonts w:ascii="Arial" w:cs="Arial" w:eastAsia="Arial" w:hAnsi="Arial"/>
                <w:sz w:val="15"/>
                <w:szCs w:val="15"/>
                <w:color w:val="auto"/>
              </w:rPr>
              <w:t>TOTAL ASSETS</w:t>
            </w:r>
          </w:p>
        </w:tc>
        <w:tc>
          <w:tcPr>
            <w:tcW w:w="300" w:type="dxa"/>
            <w:vAlign w:val="bottom"/>
          </w:tcPr>
          <w:p>
            <w:pPr>
              <w:spacing w:after="0"/>
              <w:rPr>
                <w:sz w:val="15"/>
                <w:szCs w:val="15"/>
                <w:color w:val="auto"/>
              </w:rPr>
            </w:pP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660" w:type="dxa"/>
            <w:vAlign w:val="bottom"/>
          </w:tcPr>
          <w:p>
            <w:pPr>
              <w:jc w:val="right"/>
              <w:spacing w:after="0"/>
              <w:rPr>
                <w:sz w:val="20"/>
                <w:szCs w:val="20"/>
                <w:color w:val="auto"/>
              </w:rPr>
            </w:pPr>
            <w:r>
              <w:rPr>
                <w:rFonts w:ascii="Arial" w:cs="Arial" w:eastAsia="Arial" w:hAnsi="Arial"/>
                <w:sz w:val="15"/>
                <w:szCs w:val="15"/>
                <w:color w:val="auto"/>
                <w:w w:val="95"/>
              </w:rPr>
              <w:t>6,504,076</w:t>
            </w: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tcPr>
          <w:p>
            <w:pPr>
              <w:jc w:val="right"/>
              <w:spacing w:after="0"/>
              <w:rPr>
                <w:sz w:val="20"/>
                <w:szCs w:val="20"/>
                <w:color w:val="auto"/>
              </w:rPr>
            </w:pPr>
            <w:r>
              <w:rPr>
                <w:rFonts w:ascii="Arial" w:cs="Arial" w:eastAsia="Arial" w:hAnsi="Arial"/>
                <w:sz w:val="15"/>
                <w:szCs w:val="15"/>
                <w:color w:val="auto"/>
                <w:w w:val="92"/>
              </w:rPr>
              <w:t>6,720,742</w:t>
            </w: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vMerge w:val="restart"/>
          </w:tcPr>
          <w:p>
            <w:pPr>
              <w:spacing w:after="0"/>
              <w:rPr>
                <w:sz w:val="15"/>
                <w:szCs w:val="15"/>
                <w:color w:val="auto"/>
              </w:rPr>
            </w:pPr>
          </w:p>
        </w:tc>
        <w:tc>
          <w:tcPr>
            <w:tcW w:w="4980" w:type="dxa"/>
            <w:vAlign w:val="bottom"/>
            <w:tcBorders>
              <w:top w:val="single" w:sz="8" w:color="CCEEFF"/>
            </w:tcBorders>
            <w:shd w:val="clear" w:color="auto" w:fill="CCEEFF"/>
          </w:tcPr>
          <w:p>
            <w:pPr>
              <w:spacing w:after="0"/>
              <w:rPr>
                <w:sz w:val="15"/>
                <w:szCs w:val="15"/>
                <w:color w:val="auto"/>
              </w:rPr>
            </w:pPr>
          </w:p>
        </w:tc>
        <w:tc>
          <w:tcPr>
            <w:tcW w:w="30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auto"/>
            </w:tcBorders>
            <w:shd w:val="clear" w:color="auto" w:fill="CCEEFF"/>
          </w:tcPr>
          <w:p>
            <w:pPr>
              <w:spacing w:after="0"/>
              <w:rPr>
                <w:sz w:val="15"/>
                <w:szCs w:val="15"/>
                <w:color w:val="auto"/>
              </w:rPr>
            </w:pPr>
          </w:p>
        </w:tc>
        <w:tc>
          <w:tcPr>
            <w:tcW w:w="6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56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7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64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58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78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tcPr>
          <w:p>
            <w:pPr>
              <w:spacing w:after="0"/>
              <w:rPr>
                <w:sz w:val="20"/>
                <w:szCs w:val="20"/>
                <w:color w:val="auto"/>
              </w:rPr>
            </w:pPr>
            <w:r>
              <w:rPr>
                <w:rFonts w:ascii="Arial" w:cs="Arial" w:eastAsia="Arial" w:hAnsi="Arial"/>
                <w:sz w:val="15"/>
                <w:szCs w:val="15"/>
                <w:color w:val="auto"/>
              </w:rPr>
              <w:t>INTEREST BEARING LIABILITIES</w:t>
            </w: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Deposits</w:t>
            </w:r>
          </w:p>
        </w:tc>
        <w:tc>
          <w:tcPr>
            <w:tcW w:w="460" w:type="dxa"/>
            <w:vAlign w:val="bottom"/>
            <w:gridSpan w:val="2"/>
            <w:shd w:val="clear" w:color="auto" w:fill="CCEEFF"/>
          </w:tcPr>
          <w:p>
            <w:pPr>
              <w:jc w:val="right"/>
              <w:ind w:right="7"/>
              <w:spacing w:after="0"/>
              <w:rPr>
                <w:sz w:val="20"/>
                <w:szCs w:val="20"/>
                <w:color w:val="auto"/>
              </w:rPr>
            </w:pPr>
            <w:r>
              <w:rPr>
                <w:rFonts w:ascii="Arial" w:cs="Arial" w:eastAsia="Arial" w:hAnsi="Arial"/>
                <w:sz w:val="15"/>
                <w:szCs w:val="15"/>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w w:val="95"/>
              </w:rPr>
              <w:t>3,329,296</w:t>
            </w:r>
          </w:p>
        </w:tc>
        <w:tc>
          <w:tcPr>
            <w:tcW w:w="320" w:type="dxa"/>
            <w:vAlign w:val="bottom"/>
            <w:gridSpan w:val="2"/>
            <w:shd w:val="clear" w:color="auto" w:fill="CCEEFF"/>
          </w:tcPr>
          <w:p>
            <w:pPr>
              <w:jc w:val="right"/>
              <w:ind w:right="101"/>
              <w:spacing w:after="0"/>
              <w:rPr>
                <w:sz w:val="20"/>
                <w:szCs w:val="20"/>
                <w:color w:val="auto"/>
              </w:rPr>
            </w:pPr>
            <w:r>
              <w:rPr>
                <w:rFonts w:ascii="Arial" w:cs="Arial" w:eastAsia="Arial" w:hAnsi="Arial"/>
                <w:sz w:val="15"/>
                <w:szCs w:val="15"/>
                <w:color w:val="auto"/>
              </w:rPr>
              <w: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6,941</w:t>
            </w: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w w:val="98"/>
              </w:rPr>
              <w:t>0.41%</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w w:val="92"/>
              </w:rPr>
              <w:t>2,644,477</w:t>
            </w:r>
          </w:p>
        </w:tc>
        <w:tc>
          <w:tcPr>
            <w:tcW w:w="260" w:type="dxa"/>
            <w:vAlign w:val="bottom"/>
            <w:gridSpan w:val="2"/>
            <w:shd w:val="clear" w:color="auto" w:fill="CCEEFF"/>
          </w:tcPr>
          <w:p>
            <w:pPr>
              <w:ind w:left="60"/>
              <w:spacing w:after="0"/>
              <w:rPr>
                <w:sz w:val="20"/>
                <w:szCs w:val="20"/>
                <w:color w:val="auto"/>
              </w:rPr>
            </w:pPr>
            <w:r>
              <w:rPr>
                <w:rFonts w:ascii="Arial" w:cs="Arial" w:eastAsia="Arial" w:hAnsi="Arial"/>
                <w:sz w:val="15"/>
                <w:szCs w:val="15"/>
                <w:color w:val="auto"/>
              </w:rPr>
              <w:t>$</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17,153</w:t>
            </w: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w w:val="84"/>
              </w:rPr>
              <w:t>1.28%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tcPr>
          <w:p>
            <w:pPr>
              <w:spacing w:after="0"/>
              <w:rPr>
                <w:sz w:val="20"/>
                <w:szCs w:val="20"/>
                <w:color w:val="auto"/>
              </w:rPr>
            </w:pPr>
            <w:r>
              <w:rPr>
                <w:rFonts w:ascii="Arial" w:cs="Arial" w:eastAsia="Arial" w:hAnsi="Arial"/>
                <w:sz w:val="15"/>
                <w:szCs w:val="15"/>
                <w:color w:val="auto"/>
                <w:w w:val="92"/>
              </w:rPr>
              <w:t>Securities sold under repurchase agreement and short-term borrowings and debt</w:t>
            </w: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5"/>
                <w:szCs w:val="15"/>
                <w:color w:val="auto"/>
              </w:rPr>
              <w:t>507,990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5"/>
                <w:szCs w:val="15"/>
                <w:color w:val="auto"/>
              </w:rPr>
              <w:t>2,992</w:t>
            </w:r>
          </w:p>
        </w:tc>
        <w:tc>
          <w:tcPr>
            <w:tcW w:w="1140" w:type="dxa"/>
            <w:vAlign w:val="bottom"/>
            <w:gridSpan w:val="3"/>
          </w:tcPr>
          <w:p>
            <w:pPr>
              <w:ind w:left="700"/>
              <w:spacing w:after="0"/>
              <w:rPr>
                <w:sz w:val="20"/>
                <w:szCs w:val="20"/>
                <w:color w:val="auto"/>
              </w:rPr>
            </w:pPr>
            <w:r>
              <w:rPr>
                <w:rFonts w:ascii="Arial" w:cs="Arial" w:eastAsia="Arial" w:hAnsi="Arial"/>
                <w:sz w:val="15"/>
                <w:szCs w:val="15"/>
                <w:color w:val="auto"/>
              </w:rPr>
              <w:t>1.17</w:t>
            </w: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0" w:type="dxa"/>
            <w:vAlign w:val="bottom"/>
            <w:gridSpan w:val="2"/>
          </w:tcPr>
          <w:p>
            <w:pPr>
              <w:jc w:val="right"/>
              <w:ind w:right="160"/>
              <w:spacing w:after="0"/>
              <w:rPr>
                <w:sz w:val="20"/>
                <w:szCs w:val="20"/>
                <w:color w:val="auto"/>
              </w:rPr>
            </w:pPr>
            <w:r>
              <w:rPr>
                <w:rFonts w:ascii="Arial" w:cs="Arial" w:eastAsia="Arial" w:hAnsi="Arial"/>
                <w:sz w:val="15"/>
                <w:szCs w:val="15"/>
                <w:color w:val="auto"/>
                <w:w w:val="92"/>
              </w:rPr>
              <w:t>1,539,952</w:t>
            </w: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5"/>
                <w:szCs w:val="15"/>
                <w:color w:val="auto"/>
              </w:rPr>
              <w:t>17,086</w:t>
            </w:r>
          </w:p>
        </w:tc>
        <w:tc>
          <w:tcPr>
            <w:tcW w:w="920" w:type="dxa"/>
            <w:vAlign w:val="bottom"/>
            <w:gridSpan w:val="2"/>
          </w:tcPr>
          <w:p>
            <w:pPr>
              <w:ind w:left="540"/>
              <w:spacing w:after="0"/>
              <w:rPr>
                <w:sz w:val="20"/>
                <w:szCs w:val="20"/>
                <w:color w:val="auto"/>
              </w:rPr>
            </w:pPr>
            <w:r>
              <w:rPr>
                <w:rFonts w:ascii="Arial" w:cs="Arial" w:eastAsia="Arial" w:hAnsi="Arial"/>
                <w:sz w:val="15"/>
                <w:szCs w:val="15"/>
                <w:color w:val="auto"/>
              </w:rPr>
              <w:t>2.19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4980" w:type="dxa"/>
            <w:vAlign w:val="bottom"/>
            <w:shd w:val="clear" w:color="auto" w:fill="CCEEFF"/>
          </w:tcPr>
          <w:p>
            <w:pPr>
              <w:spacing w:after="0" w:line="220" w:lineRule="exact"/>
              <w:rPr>
                <w:sz w:val="20"/>
                <w:szCs w:val="20"/>
                <w:color w:val="auto"/>
              </w:rPr>
            </w:pPr>
            <w:r>
              <w:rPr>
                <w:rFonts w:ascii="Arial" w:cs="Arial" w:eastAsia="Arial" w:hAnsi="Arial"/>
                <w:sz w:val="15"/>
                <w:szCs w:val="15"/>
                <w:color w:val="auto"/>
              </w:rPr>
              <w:t xml:space="preserve">Long-term borrowings and debt, net </w:t>
            </w:r>
            <w:r>
              <w:rPr>
                <w:rFonts w:ascii="Arial" w:cs="Arial" w:eastAsia="Arial" w:hAnsi="Arial"/>
                <w:sz w:val="24"/>
                <w:szCs w:val="24"/>
                <w:color w:val="auto"/>
                <w:vertAlign w:val="superscript"/>
              </w:rPr>
              <w:t>(2)</w:t>
            </w:r>
          </w:p>
        </w:tc>
        <w:tc>
          <w:tcPr>
            <w:tcW w:w="3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w w:val="95"/>
              </w:rPr>
              <w:t>1,513,227</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17,256</w:t>
            </w: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rPr>
              <w:t>2.27</w:t>
            </w:r>
          </w:p>
        </w:tc>
        <w:tc>
          <w:tcPr>
            <w:tcW w:w="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w w:val="92"/>
              </w:rPr>
              <w:t>1,398,901</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21,734</w:t>
            </w: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rPr>
              <w:t>3.07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980" w:type="dxa"/>
            <w:vAlign w:val="bottom"/>
            <w:tcBorders>
              <w:bottom w:val="single" w:sz="8" w:color="CCEEFF"/>
            </w:tcBorders>
          </w:tcPr>
          <w:p>
            <w:pPr>
              <w:spacing w:after="0"/>
              <w:rPr>
                <w:sz w:val="15"/>
                <w:szCs w:val="15"/>
                <w:color w:val="auto"/>
              </w:rPr>
            </w:pPr>
          </w:p>
        </w:tc>
        <w:tc>
          <w:tcPr>
            <w:tcW w:w="3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60" w:type="dxa"/>
            <w:vAlign w:val="bottom"/>
            <w:tcBorders>
              <w:bottom w:val="single" w:sz="8" w:color="auto"/>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560" w:type="dxa"/>
            <w:vAlign w:val="bottom"/>
            <w:tcBorders>
              <w:bottom w:val="single" w:sz="8" w:color="auto"/>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8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180" w:type="dxa"/>
            <w:vAlign w:val="bottom"/>
            <w:tcBorders>
              <w:bottom w:val="single" w:sz="8" w:color="CCEEFF"/>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spacing w:after="0"/>
              <w:rPr>
                <w:sz w:val="15"/>
                <w:szCs w:val="15"/>
                <w:color w:val="auto"/>
              </w:rPr>
            </w:pPr>
          </w:p>
        </w:tc>
        <w:tc>
          <w:tcPr>
            <w:tcW w:w="160" w:type="dxa"/>
            <w:vAlign w:val="bottom"/>
            <w:tcBorders>
              <w:bottom w:val="single" w:sz="8" w:color="CCEEFF"/>
            </w:tcBorders>
          </w:tcPr>
          <w:p>
            <w:pPr>
              <w:spacing w:after="0"/>
              <w:rPr>
                <w:sz w:val="15"/>
                <w:szCs w:val="15"/>
                <w:color w:val="auto"/>
              </w:rPr>
            </w:pPr>
          </w:p>
        </w:tc>
        <w:tc>
          <w:tcPr>
            <w:tcW w:w="60" w:type="dxa"/>
            <w:vAlign w:val="bottom"/>
            <w:tcBorders>
              <w:bottom w:val="single" w:sz="8" w:color="CCEEFF"/>
            </w:tcBorders>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580" w:type="dxa"/>
            <w:vAlign w:val="bottom"/>
            <w:tcBorders>
              <w:bottom w:val="single" w:sz="8" w:color="auto"/>
            </w:tcBorders>
          </w:tcPr>
          <w:p>
            <w:pPr>
              <w:spacing w:after="0"/>
              <w:rPr>
                <w:sz w:val="15"/>
                <w:szCs w:val="15"/>
                <w:color w:val="auto"/>
              </w:rPr>
            </w:pPr>
          </w:p>
        </w:tc>
        <w:tc>
          <w:tcPr>
            <w:tcW w:w="22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4980" w:type="dxa"/>
            <w:vAlign w:val="bottom"/>
            <w:shd w:val="clear" w:color="auto" w:fill="CCEEFF"/>
          </w:tcPr>
          <w:p>
            <w:pPr>
              <w:spacing w:after="0" w:line="171" w:lineRule="exact"/>
              <w:rPr>
                <w:sz w:val="20"/>
                <w:szCs w:val="20"/>
                <w:color w:val="auto"/>
              </w:rPr>
            </w:pPr>
            <w:r>
              <w:rPr>
                <w:rFonts w:ascii="Arial" w:cs="Arial" w:eastAsia="Arial" w:hAnsi="Arial"/>
                <w:sz w:val="15"/>
                <w:szCs w:val="15"/>
                <w:color w:val="auto"/>
              </w:rPr>
              <w:t>TOTAL INTEREST BEARING LIABILITIES</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5"/>
                <w:szCs w:val="15"/>
                <w:color w:val="auto"/>
                <w:w w:val="95"/>
              </w:rPr>
              <w:t>5,350,513</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27,189</w:t>
            </w: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5"/>
                <w:szCs w:val="15"/>
                <w:color w:val="auto"/>
                <w:w w:val="98"/>
              </w:rPr>
              <w:t>1.01%</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92"/>
              </w:rPr>
              <w:t>5,583,331</w:t>
            </w: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5"/>
                <w:szCs w:val="15"/>
                <w:color w:val="auto"/>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5"/>
                <w:szCs w:val="15"/>
                <w:color w:val="auto"/>
              </w:rPr>
              <w:t>55,973</w:t>
            </w:r>
          </w:p>
        </w:tc>
        <w:tc>
          <w:tcPr>
            <w:tcW w:w="220" w:type="dxa"/>
            <w:vAlign w:val="bottom"/>
            <w:shd w:val="clear" w:color="auto" w:fill="CCEEFF"/>
          </w:tcPr>
          <w:p>
            <w:pPr>
              <w:spacing w:after="0"/>
              <w:rPr>
                <w:sz w:val="15"/>
                <w:szCs w:val="15"/>
                <w:color w:val="auto"/>
              </w:rPr>
            </w:pP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w w:val="84"/>
              </w:rPr>
              <w:t>1.98%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5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Non interest bearing liabilities and other liabilities</w:t>
            </w:r>
          </w:p>
        </w:tc>
        <w:tc>
          <w:tcPr>
            <w:tcW w:w="460" w:type="dxa"/>
            <w:vAlign w:val="bottom"/>
            <w:gridSpan w:val="2"/>
            <w:shd w:val="clear" w:color="auto" w:fill="CCEEFF"/>
          </w:tcPr>
          <w:p>
            <w:pPr>
              <w:jc w:val="right"/>
              <w:ind w:right="7"/>
              <w:spacing w:after="0"/>
              <w:rPr>
                <w:sz w:val="20"/>
                <w:szCs w:val="20"/>
                <w:color w:val="auto"/>
              </w:rPr>
            </w:pPr>
            <w:r>
              <w:rPr>
                <w:rFonts w:ascii="Arial" w:cs="Arial" w:eastAsia="Arial" w:hAnsi="Arial"/>
                <w:sz w:val="15"/>
                <w:szCs w:val="15"/>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rPr>
              <w:t>113,474</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rPr>
              <w:t>111,996</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TOTAL LIABILITIES</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w w:val="95"/>
              </w:rPr>
              <w:t>5,463,987</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w w:val="92"/>
              </w:rPr>
              <w:t>5,695,327</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EQUITY</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5"/>
                <w:szCs w:val="15"/>
                <w:color w:val="auto"/>
                <w:w w:val="95"/>
              </w:rPr>
              <w:t>1,040,089</w:t>
            </w: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w w:val="92"/>
              </w:rPr>
              <w:t>1,025,416</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5000" w:type="dxa"/>
            <w:vAlign w:val="bottom"/>
            <w:gridSpan w:val="2"/>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4980" w:type="dxa"/>
            <w:vAlign w:val="bottom"/>
            <w:tcBorders>
              <w:top w:val="single" w:sz="8" w:color="CCEEFF"/>
            </w:tcBorders>
            <w:shd w:val="clear" w:color="auto" w:fill="CCEEFF"/>
          </w:tcPr>
          <w:p>
            <w:pPr>
              <w:spacing w:after="0" w:line="171" w:lineRule="exact"/>
              <w:rPr>
                <w:sz w:val="20"/>
                <w:szCs w:val="20"/>
                <w:color w:val="auto"/>
              </w:rPr>
            </w:pPr>
            <w:r>
              <w:rPr>
                <w:rFonts w:ascii="Arial" w:cs="Arial" w:eastAsia="Arial" w:hAnsi="Arial"/>
                <w:sz w:val="15"/>
                <w:szCs w:val="15"/>
                <w:color w:val="auto"/>
              </w:rPr>
              <w:t>TOTAL LIABILITIES AND EQUITY</w:t>
            </w:r>
          </w:p>
        </w:tc>
        <w:tc>
          <w:tcPr>
            <w:tcW w:w="30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95"/>
              </w:rPr>
              <w:t>6,504,076</w:t>
            </w:r>
          </w:p>
        </w:tc>
        <w:tc>
          <w:tcPr>
            <w:tcW w:w="1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56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7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92"/>
              </w:rPr>
              <w:t>6,720,742</w:t>
            </w:r>
          </w:p>
        </w:tc>
        <w:tc>
          <w:tcPr>
            <w:tcW w:w="16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58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78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vMerge w:val="restart"/>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NET INTEREST SPREAD</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w w:val="98"/>
              </w:rPr>
              <w:t>1.08%</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w w:val="84"/>
              </w:rPr>
              <w:t>1.09%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20" w:type="dxa"/>
            <w:vAlign w:val="bottom"/>
            <w:vMerge w:val="restart"/>
          </w:tcPr>
          <w:p>
            <w:pPr>
              <w:spacing w:after="0"/>
              <w:rPr>
                <w:sz w:val="15"/>
                <w:szCs w:val="15"/>
                <w:color w:val="auto"/>
              </w:rPr>
            </w:pPr>
          </w:p>
        </w:tc>
        <w:tc>
          <w:tcPr>
            <w:tcW w:w="49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vMerge w:val="restart"/>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5"/>
                <w:szCs w:val="15"/>
                <w:color w:val="auto"/>
              </w:rPr>
              <w:t>NET INTEREST INCOME AND NET INTEREST MARGIN</w:t>
            </w:r>
          </w:p>
        </w:tc>
        <w:tc>
          <w:tcPr>
            <w:tcW w:w="3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320" w:type="dxa"/>
            <w:vAlign w:val="bottom"/>
            <w:gridSpan w:val="2"/>
            <w:shd w:val="clear" w:color="auto" w:fill="CCEEFF"/>
          </w:tcPr>
          <w:p>
            <w:pPr>
              <w:jc w:val="right"/>
              <w:ind w:right="101"/>
              <w:spacing w:after="0"/>
              <w:rPr>
                <w:sz w:val="20"/>
                <w:szCs w:val="20"/>
                <w:color w:val="auto"/>
              </w:rPr>
            </w:pPr>
            <w:r>
              <w:rPr>
                <w:rFonts w:ascii="Arial" w:cs="Arial" w:eastAsia="Arial" w:hAnsi="Arial"/>
                <w:sz w:val="15"/>
                <w:szCs w:val="15"/>
                <w:color w:val="auto"/>
              </w:rPr>
              <w: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39,893</w:t>
            </w:r>
          </w:p>
        </w:tc>
        <w:tc>
          <w:tcPr>
            <w:tcW w:w="1140" w:type="dxa"/>
            <w:vAlign w:val="bottom"/>
            <w:gridSpan w:val="3"/>
            <w:shd w:val="clear" w:color="auto" w:fill="CCEEFF"/>
          </w:tcPr>
          <w:p>
            <w:pPr>
              <w:ind w:left="700"/>
              <w:spacing w:after="0"/>
              <w:rPr>
                <w:sz w:val="20"/>
                <w:szCs w:val="20"/>
                <w:color w:val="auto"/>
              </w:rPr>
            </w:pPr>
            <w:r>
              <w:rPr>
                <w:rFonts w:ascii="Arial" w:cs="Arial" w:eastAsia="Arial" w:hAnsi="Arial"/>
                <w:sz w:val="15"/>
                <w:szCs w:val="15"/>
                <w:color w:val="auto"/>
                <w:w w:val="98"/>
              </w:rPr>
              <w:t>1.26%</w:t>
            </w:r>
          </w:p>
        </w:tc>
        <w:tc>
          <w:tcPr>
            <w:tcW w:w="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260" w:type="dxa"/>
            <w:vAlign w:val="bottom"/>
            <w:gridSpan w:val="2"/>
            <w:shd w:val="clear" w:color="auto" w:fill="CCEEFF"/>
          </w:tcPr>
          <w:p>
            <w:pPr>
              <w:ind w:left="60"/>
              <w:spacing w:after="0"/>
              <w:rPr>
                <w:sz w:val="20"/>
                <w:szCs w:val="20"/>
                <w:color w:val="auto"/>
              </w:rPr>
            </w:pPr>
            <w:r>
              <w:rPr>
                <w:rFonts w:ascii="Arial" w:cs="Arial" w:eastAsia="Arial" w:hAnsi="Arial"/>
                <w:sz w:val="15"/>
                <w:szCs w:val="15"/>
                <w:color w:val="auto"/>
              </w:rPr>
              <w:t>$</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47,523</w:t>
            </w:r>
          </w:p>
        </w:tc>
        <w:tc>
          <w:tcPr>
            <w:tcW w:w="920" w:type="dxa"/>
            <w:vAlign w:val="bottom"/>
            <w:gridSpan w:val="2"/>
            <w:shd w:val="clear" w:color="auto" w:fill="CCEEFF"/>
          </w:tcPr>
          <w:p>
            <w:pPr>
              <w:ind w:left="540"/>
              <w:spacing w:after="0"/>
              <w:rPr>
                <w:sz w:val="20"/>
                <w:szCs w:val="20"/>
                <w:color w:val="auto"/>
              </w:rPr>
            </w:pPr>
            <w:r>
              <w:rPr>
                <w:rFonts w:ascii="Arial" w:cs="Arial" w:eastAsia="Arial" w:hAnsi="Arial"/>
                <w:sz w:val="15"/>
                <w:szCs w:val="15"/>
                <w:color w:val="auto"/>
                <w:w w:val="84"/>
              </w:rPr>
              <w:t>1.43%</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181" w:lineRule="exact"/>
        <w:rPr>
          <w:sz w:val="20"/>
          <w:szCs w:val="20"/>
          <w:color w:val="auto"/>
        </w:rPr>
      </w:pPr>
    </w:p>
    <w:p>
      <w:pPr>
        <w:ind w:left="442" w:hanging="442"/>
        <w:spacing w:after="0"/>
        <w:tabs>
          <w:tab w:leader="none" w:pos="442" w:val="left"/>
        </w:tabs>
        <w:numPr>
          <w:ilvl w:val="0"/>
          <w:numId w:val="8"/>
        </w:numPr>
        <w:rPr>
          <w:rFonts w:ascii="Arial" w:cs="Arial" w:eastAsia="Arial" w:hAnsi="Arial"/>
          <w:sz w:val="27"/>
          <w:szCs w:val="27"/>
          <w:color w:val="auto"/>
          <w:vertAlign w:val="superscript"/>
        </w:rPr>
      </w:pPr>
      <w:r>
        <w:rPr>
          <w:rFonts w:ascii="Arial" w:cs="Arial" w:eastAsia="Arial" w:hAnsi="Arial"/>
          <w:sz w:val="16"/>
          <w:szCs w:val="16"/>
          <w:color w:val="auto"/>
        </w:rPr>
        <w:t>Gross of the allowance for losses relating to securities at amortized cost.</w:t>
      </w:r>
    </w:p>
    <w:p>
      <w:pPr>
        <w:spacing w:after="0" w:line="2" w:lineRule="exact"/>
        <w:rPr>
          <w:rFonts w:ascii="Arial" w:cs="Arial" w:eastAsia="Arial" w:hAnsi="Arial"/>
          <w:sz w:val="27"/>
          <w:szCs w:val="27"/>
          <w:color w:val="auto"/>
          <w:vertAlign w:val="superscript"/>
        </w:rPr>
      </w:pPr>
    </w:p>
    <w:p>
      <w:pPr>
        <w:ind w:left="442" w:hanging="442"/>
        <w:spacing w:after="0" w:line="183" w:lineRule="auto"/>
        <w:tabs>
          <w:tab w:leader="none" w:pos="442" w:val="left"/>
        </w:tabs>
        <w:numPr>
          <w:ilvl w:val="0"/>
          <w:numId w:val="8"/>
        </w:numPr>
        <w:rPr>
          <w:rFonts w:ascii="Arial" w:cs="Arial" w:eastAsia="Arial" w:hAnsi="Arial"/>
          <w:sz w:val="22"/>
          <w:szCs w:val="22"/>
          <w:color w:val="auto"/>
          <w:vertAlign w:val="superscript"/>
        </w:rPr>
      </w:pPr>
      <w:r>
        <w:rPr>
          <w:rFonts w:ascii="Arial" w:cs="Arial" w:eastAsia="Arial" w:hAnsi="Arial"/>
          <w:sz w:val="14"/>
          <w:szCs w:val="14"/>
          <w:color w:val="auto"/>
        </w:rPr>
        <w:t>Includes lease liabilities, net of prepaid commissions.</w:t>
      </w:r>
    </w:p>
    <w:p>
      <w:pPr>
        <w:spacing w:after="0" w:line="2" w:lineRule="exact"/>
        <w:rPr>
          <w:rFonts w:ascii="Arial" w:cs="Arial" w:eastAsia="Arial" w:hAnsi="Arial"/>
          <w:sz w:val="22"/>
          <w:szCs w:val="22"/>
          <w:color w:val="auto"/>
          <w:vertAlign w:val="superscript"/>
        </w:rPr>
      </w:pPr>
    </w:p>
    <w:p>
      <w:pPr>
        <w:ind w:left="442"/>
        <w:spacing w:after="0"/>
        <w:rPr>
          <w:rFonts w:ascii="Arial" w:cs="Arial" w:eastAsia="Arial" w:hAnsi="Arial"/>
          <w:sz w:val="22"/>
          <w:szCs w:val="22"/>
          <w:color w:val="auto"/>
          <w:vertAlign w:val="superscript"/>
        </w:rPr>
      </w:pPr>
      <w:r>
        <w:rPr>
          <w:rFonts w:ascii="Arial" w:cs="Arial" w:eastAsia="Arial" w:hAnsi="Arial"/>
          <w:sz w:val="16"/>
          <w:szCs w:val="16"/>
          <w:color w:val="auto"/>
        </w:rPr>
        <w:t>Note:   Interest income and/or expense includes the effect of derivative financial instruments used for hedging.</w:t>
      </w:r>
    </w:p>
    <w:p>
      <w:pPr>
        <w:spacing w:after="0" w:line="38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28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700" w:type="dxa"/>
            <w:vAlign w:val="bottom"/>
            <w:gridSpan w:val="12"/>
            <w:vMerge w:val="restart"/>
          </w:tcPr>
          <w:p>
            <w:pPr>
              <w:jc w:val="right"/>
              <w:ind w:right="860"/>
              <w:spacing w:after="0"/>
              <w:rPr>
                <w:sz w:val="20"/>
                <w:szCs w:val="20"/>
                <w:color w:val="auto"/>
              </w:rPr>
            </w:pPr>
            <w:r>
              <w:rPr>
                <w:rFonts w:ascii="Arial" w:cs="Arial" w:eastAsia="Arial" w:hAnsi="Arial"/>
                <w:sz w:val="16"/>
                <w:szCs w:val="16"/>
                <w:color w:val="auto"/>
                <w:w w:val="97"/>
              </w:rPr>
              <w:t>CONSOLIDATED STATEMENT OF PROFIT OR LOSS</w:t>
            </w: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6"/>
                <w:szCs w:val="16"/>
                <w:color w:val="auto"/>
              </w:rPr>
              <w:t>EXHIBIT VI</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5"/>
                <w:szCs w:val="15"/>
                <w:color w:val="auto"/>
              </w:rPr>
            </w:pPr>
          </w:p>
        </w:tc>
        <w:tc>
          <w:tcPr>
            <w:tcW w:w="28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700" w:type="dxa"/>
            <w:vAlign w:val="bottom"/>
            <w:gridSpan w:val="12"/>
            <w:vMerge w:val="continue"/>
          </w:tcPr>
          <w:p>
            <w:pPr>
              <w:spacing w:after="0"/>
              <w:rPr>
                <w:sz w:val="15"/>
                <w:szCs w:val="15"/>
                <w:color w:val="auto"/>
              </w:rPr>
            </w:pP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28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760" w:type="dxa"/>
            <w:vAlign w:val="bottom"/>
            <w:gridSpan w:val="10"/>
          </w:tcPr>
          <w:p>
            <w:pPr>
              <w:jc w:val="right"/>
              <w:spacing w:after="0"/>
              <w:rPr>
                <w:sz w:val="20"/>
                <w:szCs w:val="20"/>
                <w:color w:val="auto"/>
              </w:rPr>
            </w:pPr>
            <w:r>
              <w:rPr>
                <w:rFonts w:ascii="Arial" w:cs="Arial" w:eastAsia="Arial" w:hAnsi="Arial"/>
                <w:sz w:val="16"/>
                <w:szCs w:val="16"/>
                <w:color w:val="auto"/>
                <w:w w:val="93"/>
              </w:rPr>
              <w:t>(In US$ thousand, except per share amounts and ratios)</w:t>
            </w: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67"/>
        </w:trPr>
        <w:tc>
          <w:tcPr>
            <w:tcW w:w="2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40" w:type="dxa"/>
            <w:vAlign w:val="bottom"/>
            <w:gridSpan w:val="2"/>
          </w:tcPr>
          <w:p>
            <w:pPr>
              <w:jc w:val="center"/>
              <w:ind w:right="300"/>
              <w:spacing w:after="0"/>
              <w:rPr>
                <w:sz w:val="20"/>
                <w:szCs w:val="20"/>
                <w:color w:val="auto"/>
              </w:rPr>
            </w:pPr>
            <w:r>
              <w:rPr>
                <w:rFonts w:ascii="Arial" w:cs="Arial" w:eastAsia="Arial" w:hAnsi="Arial"/>
                <w:sz w:val="13"/>
                <w:szCs w:val="13"/>
                <w:color w:val="auto"/>
                <w:w w:val="98"/>
              </w:rPr>
              <w:t>SIX MONTHS</w:t>
            </w: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gridSpan w:val="8"/>
          </w:tcPr>
          <w:p>
            <w:pPr>
              <w:jc w:val="right"/>
              <w:ind w:right="860"/>
              <w:spacing w:after="0"/>
              <w:rPr>
                <w:sz w:val="20"/>
                <w:szCs w:val="20"/>
                <w:color w:val="auto"/>
              </w:rPr>
            </w:pPr>
            <w:r>
              <w:rPr>
                <w:rFonts w:ascii="Arial" w:cs="Arial" w:eastAsia="Arial" w:hAnsi="Arial"/>
                <w:sz w:val="13"/>
                <w:szCs w:val="13"/>
                <w:color w:val="auto"/>
              </w:rPr>
              <w:t>FOR THE THREE MONTHS ENDED</w:t>
            </w: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3"/>
                <w:szCs w:val="13"/>
                <w:color w:val="auto"/>
                <w:w w:val="98"/>
              </w:rPr>
              <w:t>SIX MONTHS</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2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140" w:type="dxa"/>
            <w:vAlign w:val="bottom"/>
            <w:gridSpan w:val="2"/>
          </w:tcPr>
          <w:p>
            <w:pPr>
              <w:jc w:val="center"/>
              <w:ind w:right="300"/>
              <w:spacing w:after="0" w:line="123" w:lineRule="exact"/>
              <w:rPr>
                <w:sz w:val="20"/>
                <w:szCs w:val="20"/>
                <w:color w:val="auto"/>
              </w:rPr>
            </w:pPr>
            <w:r>
              <w:rPr>
                <w:rFonts w:ascii="Arial" w:cs="Arial" w:eastAsia="Arial" w:hAnsi="Arial"/>
                <w:sz w:val="13"/>
                <w:szCs w:val="13"/>
                <w:color w:val="auto"/>
                <w:w w:val="96"/>
              </w:rPr>
              <w:t>ENDED</w:t>
            </w:r>
          </w:p>
        </w:tc>
        <w:tc>
          <w:tcPr>
            <w:tcW w:w="1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40" w:type="dxa"/>
            <w:vAlign w:val="bottom"/>
            <w:gridSpan w:val="2"/>
          </w:tcPr>
          <w:p>
            <w:pPr>
              <w:jc w:val="center"/>
              <w:ind w:right="200"/>
              <w:spacing w:after="0" w:line="123" w:lineRule="exact"/>
              <w:rPr>
                <w:sz w:val="20"/>
                <w:szCs w:val="20"/>
                <w:color w:val="auto"/>
              </w:rPr>
            </w:pPr>
            <w:r>
              <w:rPr>
                <w:rFonts w:ascii="Arial" w:cs="Arial" w:eastAsia="Arial" w:hAnsi="Arial"/>
                <w:sz w:val="13"/>
                <w:szCs w:val="13"/>
                <w:color w:val="auto"/>
                <w:w w:val="96"/>
              </w:rPr>
              <w:t>ENDED</w:t>
            </w: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40" w:type="dxa"/>
            <w:vAlign w:val="bottom"/>
            <w:gridSpan w:val="2"/>
          </w:tcPr>
          <w:p>
            <w:pPr>
              <w:jc w:val="center"/>
              <w:ind w:right="300"/>
              <w:spacing w:after="0"/>
              <w:rPr>
                <w:sz w:val="20"/>
                <w:szCs w:val="20"/>
                <w:color w:val="auto"/>
              </w:rPr>
            </w:pPr>
            <w:r>
              <w:rPr>
                <w:rFonts w:ascii="Arial" w:cs="Arial" w:eastAsia="Arial" w:hAnsi="Arial"/>
                <w:sz w:val="13"/>
                <w:szCs w:val="13"/>
                <w:color w:val="auto"/>
                <w:w w:val="91"/>
              </w:rPr>
              <w:t>JUN 30/21</w:t>
            </w:r>
          </w:p>
        </w:tc>
        <w:tc>
          <w:tcPr>
            <w:tcW w:w="120" w:type="dxa"/>
            <w:vAlign w:val="bottom"/>
          </w:tcPr>
          <w:p>
            <w:pPr>
              <w:spacing w:after="0"/>
              <w:rPr>
                <w:sz w:val="13"/>
                <w:szCs w:val="13"/>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3"/>
                <w:szCs w:val="13"/>
                <w:color w:val="auto"/>
              </w:rPr>
              <w:t>JUN 30/21</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00" w:type="dxa"/>
            <w:vAlign w:val="bottom"/>
            <w:gridSpan w:val="2"/>
          </w:tcPr>
          <w:p>
            <w:pPr>
              <w:jc w:val="right"/>
              <w:ind w:right="400"/>
              <w:spacing w:after="0"/>
              <w:rPr>
                <w:sz w:val="20"/>
                <w:szCs w:val="20"/>
                <w:color w:val="auto"/>
              </w:rPr>
            </w:pPr>
            <w:r>
              <w:rPr>
                <w:rFonts w:ascii="Arial" w:cs="Arial" w:eastAsia="Arial" w:hAnsi="Arial"/>
                <w:sz w:val="13"/>
                <w:szCs w:val="13"/>
                <w:color w:val="auto"/>
              </w:rPr>
              <w:t>MAR 31/21</w:t>
            </w:r>
          </w:p>
        </w:tc>
        <w:tc>
          <w:tcPr>
            <w:tcW w:w="140" w:type="dxa"/>
            <w:vAlign w:val="bottom"/>
          </w:tcPr>
          <w:p>
            <w:pPr>
              <w:spacing w:after="0"/>
              <w:rPr>
                <w:sz w:val="13"/>
                <w:szCs w:val="13"/>
                <w:color w:val="auto"/>
              </w:rPr>
            </w:pPr>
          </w:p>
        </w:tc>
        <w:tc>
          <w:tcPr>
            <w:tcW w:w="1080" w:type="dxa"/>
            <w:vAlign w:val="bottom"/>
            <w:gridSpan w:val="2"/>
          </w:tcPr>
          <w:p>
            <w:pPr>
              <w:jc w:val="right"/>
              <w:ind w:right="420"/>
              <w:spacing w:after="0"/>
              <w:rPr>
                <w:sz w:val="20"/>
                <w:szCs w:val="20"/>
                <w:color w:val="auto"/>
              </w:rPr>
            </w:pPr>
            <w:r>
              <w:rPr>
                <w:rFonts w:ascii="Arial" w:cs="Arial" w:eastAsia="Arial" w:hAnsi="Arial"/>
                <w:sz w:val="13"/>
                <w:szCs w:val="13"/>
                <w:color w:val="auto"/>
              </w:rPr>
              <w:t>DEC 31/20</w:t>
            </w:r>
          </w:p>
        </w:tc>
        <w:tc>
          <w:tcPr>
            <w:tcW w:w="220" w:type="dxa"/>
            <w:vAlign w:val="bottom"/>
          </w:tcPr>
          <w:p>
            <w:pPr>
              <w:spacing w:after="0"/>
              <w:rPr>
                <w:sz w:val="13"/>
                <w:szCs w:val="13"/>
                <w:color w:val="auto"/>
              </w:rPr>
            </w:pPr>
          </w:p>
        </w:tc>
        <w:tc>
          <w:tcPr>
            <w:tcW w:w="940" w:type="dxa"/>
            <w:vAlign w:val="bottom"/>
            <w:gridSpan w:val="2"/>
          </w:tcPr>
          <w:p>
            <w:pPr>
              <w:jc w:val="right"/>
              <w:ind w:right="380"/>
              <w:spacing w:after="0"/>
              <w:rPr>
                <w:sz w:val="20"/>
                <w:szCs w:val="20"/>
                <w:color w:val="auto"/>
              </w:rPr>
            </w:pPr>
            <w:r>
              <w:rPr>
                <w:rFonts w:ascii="Arial" w:cs="Arial" w:eastAsia="Arial" w:hAnsi="Arial"/>
                <w:sz w:val="13"/>
                <w:szCs w:val="13"/>
                <w:color w:val="auto"/>
                <w:w w:val="86"/>
              </w:rPr>
              <w:t>SEP 30/20</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80" w:type="dxa"/>
            <w:vAlign w:val="bottom"/>
            <w:gridSpan w:val="2"/>
          </w:tcPr>
          <w:p>
            <w:pPr>
              <w:jc w:val="right"/>
              <w:ind w:right="402"/>
              <w:spacing w:after="0"/>
              <w:rPr>
                <w:sz w:val="20"/>
                <w:szCs w:val="20"/>
                <w:color w:val="auto"/>
              </w:rPr>
            </w:pPr>
            <w:r>
              <w:rPr>
                <w:rFonts w:ascii="Arial" w:cs="Arial" w:eastAsia="Arial" w:hAnsi="Arial"/>
                <w:sz w:val="13"/>
                <w:szCs w:val="13"/>
                <w:color w:val="auto"/>
              </w:rPr>
              <w:t>JUN 30/20</w:t>
            </w:r>
          </w:p>
        </w:tc>
        <w:tc>
          <w:tcPr>
            <w:tcW w:w="80" w:type="dxa"/>
            <w:vAlign w:val="bottom"/>
          </w:tcPr>
          <w:p>
            <w:pPr>
              <w:spacing w:after="0"/>
              <w:rPr>
                <w:sz w:val="13"/>
                <w:szCs w:val="13"/>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3"/>
                <w:szCs w:val="13"/>
                <w:color w:val="auto"/>
                <w:w w:val="91"/>
              </w:rPr>
              <w:t>JUN 30/20</w:t>
            </w: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280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3"/>
                <w:szCs w:val="13"/>
                <w:b w:val="1"/>
                <w:bCs w:val="1"/>
                <w:color w:val="auto"/>
              </w:rPr>
              <w:t>Net Interest Income:</w:t>
            </w:r>
          </w:p>
        </w:tc>
        <w:tc>
          <w:tcPr>
            <w:tcW w:w="80" w:type="dxa"/>
            <w:vAlign w:val="bottom"/>
            <w:tcBorders>
              <w:top w:val="single" w:sz="8" w:color="auto"/>
            </w:tcBorders>
            <w:shd w:val="clear" w:color="auto" w:fill="CCEEFF"/>
          </w:tcPr>
          <w:p>
            <w:pPr>
              <w:spacing w:after="0"/>
              <w:rPr>
                <w:sz w:val="10"/>
                <w:szCs w:val="10"/>
                <w:color w:val="auto"/>
              </w:rPr>
            </w:pPr>
          </w:p>
        </w:tc>
        <w:tc>
          <w:tcPr>
            <w:tcW w:w="92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auto"/>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92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Interest income</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67,082</w:t>
            </w:r>
          </w:p>
        </w:tc>
        <w:tc>
          <w:tcPr>
            <w:tcW w:w="120" w:type="dxa"/>
            <w:vAlign w:val="bottom"/>
          </w:tcPr>
          <w:p>
            <w:pPr>
              <w:jc w:val="right"/>
              <w:ind w:right="11"/>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34,164</w:t>
            </w:r>
          </w:p>
        </w:tc>
        <w:tc>
          <w:tcPr>
            <w:tcW w:w="180" w:type="dxa"/>
            <w:vAlign w:val="bottom"/>
            <w:gridSpan w:val="2"/>
          </w:tcPr>
          <w:p>
            <w:pPr>
              <w:jc w:val="right"/>
              <w:ind w:right="11"/>
              <w:spacing w:after="0" w:line="134" w:lineRule="exact"/>
              <w:rPr>
                <w:sz w:val="20"/>
                <w:szCs w:val="20"/>
                <w:color w:val="auto"/>
              </w:rPr>
            </w:pPr>
            <w:r>
              <w:rPr>
                <w:rFonts w:ascii="Arial" w:cs="Arial" w:eastAsia="Arial" w:hAnsi="Arial"/>
                <w:sz w:val="13"/>
                <w:szCs w:val="13"/>
                <w:color w:val="auto"/>
              </w:rPr>
              <w:t>$</w:t>
            </w:r>
          </w:p>
        </w:tc>
        <w:tc>
          <w:tcPr>
            <w:tcW w:w="11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32,918</w:t>
            </w:r>
          </w:p>
        </w:tc>
        <w:tc>
          <w:tcPr>
            <w:tcW w:w="140" w:type="dxa"/>
            <w:vAlign w:val="bottom"/>
          </w:tcPr>
          <w:p>
            <w:pPr>
              <w:jc w:val="right"/>
              <w:ind w:right="31"/>
              <w:spacing w:after="0"/>
              <w:rPr>
                <w:sz w:val="20"/>
                <w:szCs w:val="20"/>
                <w:color w:val="auto"/>
              </w:rPr>
            </w:pPr>
            <w:r>
              <w:rPr>
                <w:rFonts w:ascii="Arial" w:cs="Arial" w:eastAsia="Arial" w:hAnsi="Arial"/>
                <w:sz w:val="10"/>
                <w:szCs w:val="10"/>
                <w:color w:val="auto"/>
                <w:w w:val="71"/>
              </w:rPr>
              <w:t>$</w:t>
            </w:r>
          </w:p>
        </w:tc>
        <w:tc>
          <w:tcPr>
            <w:tcW w:w="108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37,782</w:t>
            </w:r>
          </w:p>
        </w:tc>
        <w:tc>
          <w:tcPr>
            <w:tcW w:w="220" w:type="dxa"/>
            <w:vAlign w:val="bottom"/>
          </w:tcPr>
          <w:p>
            <w:pPr>
              <w:jc w:val="right"/>
              <w:ind w:right="111"/>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39,694</w:t>
            </w:r>
          </w:p>
        </w:tc>
        <w:tc>
          <w:tcPr>
            <w:tcW w:w="200" w:type="dxa"/>
            <w:vAlign w:val="bottom"/>
            <w:gridSpan w:val="2"/>
          </w:tcPr>
          <w:p>
            <w:pPr>
              <w:jc w:val="right"/>
              <w:ind w:right="31"/>
              <w:spacing w:after="0" w:line="134" w:lineRule="exact"/>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44,507</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103,496</w:t>
            </w: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2800" w:type="dxa"/>
            <w:vAlign w:val="bottom"/>
            <w:shd w:val="clear" w:color="auto" w:fill="CCEEFF"/>
          </w:tcPr>
          <w:p>
            <w:pPr>
              <w:spacing w:after="0" w:line="147" w:lineRule="exact"/>
              <w:rPr>
                <w:sz w:val="20"/>
                <w:szCs w:val="20"/>
                <w:color w:val="auto"/>
              </w:rPr>
            </w:pPr>
            <w:r>
              <w:rPr>
                <w:rFonts w:ascii="Arial" w:cs="Arial" w:eastAsia="Arial" w:hAnsi="Arial"/>
                <w:sz w:val="13"/>
                <w:szCs w:val="13"/>
                <w:color w:val="auto"/>
              </w:rPr>
              <w:t>Interest expense</w:t>
            </w:r>
          </w:p>
        </w:tc>
        <w:tc>
          <w:tcPr>
            <w:tcW w:w="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(27,189)</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3"/>
                <w:szCs w:val="13"/>
                <w:color w:val="auto"/>
              </w:rPr>
              <w:t>(13,166)</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(14,023)</w:t>
            </w: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3"/>
                <w:szCs w:val="13"/>
                <w:color w:val="auto"/>
              </w:rPr>
              <w:t>(15,464)</w:t>
            </w:r>
          </w:p>
        </w:tc>
        <w:tc>
          <w:tcPr>
            <w:tcW w:w="2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3"/>
                <w:szCs w:val="13"/>
                <w:color w:val="auto"/>
              </w:rPr>
              <w:t>(17,086)</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42"/>
              <w:spacing w:after="0" w:line="147" w:lineRule="exact"/>
              <w:rPr>
                <w:sz w:val="20"/>
                <w:szCs w:val="20"/>
                <w:color w:val="auto"/>
              </w:rPr>
            </w:pPr>
            <w:r>
              <w:rPr>
                <w:rFonts w:ascii="Arial" w:cs="Arial" w:eastAsia="Arial" w:hAnsi="Arial"/>
                <w:sz w:val="13"/>
                <w:szCs w:val="13"/>
                <w:color w:val="auto"/>
              </w:rPr>
              <w:t>(22,784)</w:t>
            </w: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3"/>
                <w:szCs w:val="13"/>
                <w:color w:val="auto"/>
              </w:rPr>
              <w:t>(55,973)</w:t>
            </w: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2800" w:type="dxa"/>
            <w:vAlign w:val="bottom"/>
            <w:tcBorders>
              <w:bottom w:val="single" w:sz="8" w:color="CCEEFF"/>
            </w:tcBorders>
          </w:tcPr>
          <w:p>
            <w:pPr>
              <w:spacing w:after="0" w:line="127" w:lineRule="exact"/>
              <w:rPr>
                <w:sz w:val="20"/>
                <w:szCs w:val="20"/>
                <w:color w:val="auto"/>
              </w:rPr>
            </w:pPr>
            <w:r>
              <w:rPr>
                <w:rFonts w:ascii="Arial" w:cs="Arial" w:eastAsia="Arial" w:hAnsi="Arial"/>
                <w:sz w:val="13"/>
                <w:szCs w:val="13"/>
                <w:b w:val="1"/>
                <w:bCs w:val="1"/>
                <w:color w:val="auto"/>
              </w:rPr>
              <w:t>Net Interest Income</w:t>
            </w:r>
          </w:p>
        </w:tc>
        <w:tc>
          <w:tcPr>
            <w:tcW w:w="80" w:type="dxa"/>
            <w:vAlign w:val="bottom"/>
            <w:tcBorders>
              <w:top w:val="single" w:sz="8" w:color="auto"/>
              <w:bottom w:val="single" w:sz="8" w:color="auto"/>
            </w:tcBorders>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39,893</w:t>
            </w:r>
          </w:p>
        </w:tc>
        <w:tc>
          <w:tcPr>
            <w:tcW w:w="220" w:type="dxa"/>
            <w:vAlign w:val="bottom"/>
            <w:tcBorders>
              <w:bottom w:val="single" w:sz="8" w:color="CCEEFF"/>
            </w:tcBorders>
          </w:tcPr>
          <w:p>
            <w:pPr>
              <w:spacing w:after="0"/>
              <w:rPr>
                <w:sz w:val="10"/>
                <w:szCs w:val="10"/>
                <w:color w:val="auto"/>
              </w:rPr>
            </w:pPr>
          </w:p>
        </w:tc>
        <w:tc>
          <w:tcPr>
            <w:tcW w:w="120" w:type="dxa"/>
            <w:vAlign w:val="bottom"/>
            <w:tcBorders>
              <w:top w:val="single" w:sz="8" w:color="auto"/>
              <w:bottom w:val="single" w:sz="8" w:color="auto"/>
            </w:tcBorders>
          </w:tcPr>
          <w:p>
            <w:pPr>
              <w:spacing w:after="0"/>
              <w:rPr>
                <w:sz w:val="10"/>
                <w:szCs w:val="10"/>
                <w:color w:val="auto"/>
              </w:rPr>
            </w:pPr>
          </w:p>
        </w:tc>
        <w:tc>
          <w:tcPr>
            <w:tcW w:w="8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20,998</w:t>
            </w: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120" w:type="dxa"/>
            <w:vAlign w:val="bottom"/>
            <w:tcBorders>
              <w:top w:val="single" w:sz="8" w:color="auto"/>
              <w:bottom w:val="single" w:sz="8" w:color="auto"/>
            </w:tcBorders>
          </w:tcPr>
          <w:p>
            <w:pPr>
              <w:spacing w:after="0"/>
              <w:rPr>
                <w:sz w:val="10"/>
                <w:szCs w:val="10"/>
                <w:color w:val="auto"/>
              </w:rPr>
            </w:pPr>
          </w:p>
        </w:tc>
        <w:tc>
          <w:tcPr>
            <w:tcW w:w="8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18,895</w:t>
            </w:r>
          </w:p>
        </w:tc>
        <w:tc>
          <w:tcPr>
            <w:tcW w:w="220" w:type="dxa"/>
            <w:vAlign w:val="bottom"/>
            <w:tcBorders>
              <w:bottom w:val="single" w:sz="8" w:color="CCEEFF"/>
            </w:tcBorders>
          </w:tcPr>
          <w:p>
            <w:pPr>
              <w:spacing w:after="0"/>
              <w:rPr>
                <w:sz w:val="10"/>
                <w:szCs w:val="10"/>
                <w:color w:val="auto"/>
              </w:rPr>
            </w:pPr>
          </w:p>
        </w:tc>
        <w:tc>
          <w:tcPr>
            <w:tcW w:w="140" w:type="dxa"/>
            <w:vAlign w:val="bottom"/>
            <w:tcBorders>
              <w:top w:val="single" w:sz="8" w:color="auto"/>
              <w:bottom w:val="single" w:sz="8" w:color="auto"/>
            </w:tcBorders>
          </w:tcPr>
          <w:p>
            <w:pPr>
              <w:spacing w:after="0"/>
              <w:rPr>
                <w:sz w:val="10"/>
                <w:szCs w:val="10"/>
                <w:color w:val="auto"/>
              </w:rPr>
            </w:pPr>
          </w:p>
        </w:tc>
        <w:tc>
          <w:tcPr>
            <w:tcW w:w="86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22,318</w:t>
            </w:r>
          </w:p>
        </w:tc>
        <w:tc>
          <w:tcPr>
            <w:tcW w:w="220" w:type="dxa"/>
            <w:vAlign w:val="bottom"/>
            <w:tcBorders>
              <w:bottom w:val="single" w:sz="8" w:color="CCEEFF"/>
            </w:tcBorders>
          </w:tcPr>
          <w:p>
            <w:pPr>
              <w:spacing w:after="0"/>
              <w:rPr>
                <w:sz w:val="10"/>
                <w:szCs w:val="10"/>
                <w:color w:val="auto"/>
              </w:rPr>
            </w:pPr>
          </w:p>
        </w:tc>
        <w:tc>
          <w:tcPr>
            <w:tcW w:w="220" w:type="dxa"/>
            <w:vAlign w:val="bottom"/>
            <w:tcBorders>
              <w:top w:val="single" w:sz="8" w:color="auto"/>
              <w:bottom w:val="single" w:sz="8" w:color="auto"/>
            </w:tcBorders>
          </w:tcPr>
          <w:p>
            <w:pPr>
              <w:spacing w:after="0"/>
              <w:rPr>
                <w:sz w:val="10"/>
                <w:szCs w:val="10"/>
                <w:color w:val="auto"/>
              </w:rPr>
            </w:pPr>
          </w:p>
        </w:tc>
        <w:tc>
          <w:tcPr>
            <w:tcW w:w="7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22,608</w:t>
            </w: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140" w:type="dxa"/>
            <w:vAlign w:val="bottom"/>
            <w:tcBorders>
              <w:top w:val="single" w:sz="8" w:color="auto"/>
              <w:bottom w:val="single" w:sz="8" w:color="auto"/>
            </w:tcBorders>
          </w:tcPr>
          <w:p>
            <w:pPr>
              <w:spacing w:after="0"/>
              <w:rPr>
                <w:sz w:val="10"/>
                <w:szCs w:val="10"/>
                <w:color w:val="auto"/>
              </w:rPr>
            </w:pPr>
          </w:p>
        </w:tc>
        <w:tc>
          <w:tcPr>
            <w:tcW w:w="86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21,723</w:t>
            </w:r>
          </w:p>
        </w:tc>
        <w:tc>
          <w:tcPr>
            <w:tcW w:w="220" w:type="dxa"/>
            <w:vAlign w:val="bottom"/>
            <w:tcBorders>
              <w:bottom w:val="single" w:sz="8" w:color="CCEEFF"/>
            </w:tcBorders>
          </w:tcPr>
          <w:p>
            <w:pPr>
              <w:spacing w:after="0"/>
              <w:rPr>
                <w:sz w:val="10"/>
                <w:szCs w:val="10"/>
                <w:color w:val="auto"/>
              </w:rPr>
            </w:pPr>
          </w:p>
        </w:tc>
        <w:tc>
          <w:tcPr>
            <w:tcW w:w="80" w:type="dxa"/>
            <w:vAlign w:val="bottom"/>
            <w:tcBorders>
              <w:top w:val="single" w:sz="8" w:color="auto"/>
              <w:bottom w:val="single" w:sz="8" w:color="auto"/>
            </w:tcBorders>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47,523</w:t>
            </w:r>
          </w:p>
        </w:tc>
        <w:tc>
          <w:tcPr>
            <w:tcW w:w="12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2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6"/>
        </w:trPr>
        <w:tc>
          <w:tcPr>
            <w:tcW w:w="20" w:type="dxa"/>
            <w:vAlign w:val="bottom"/>
            <w:vMerge w:val="continue"/>
          </w:tcPr>
          <w:p>
            <w:pPr>
              <w:spacing w:after="0"/>
              <w:rPr>
                <w:sz w:val="12"/>
                <w:szCs w:val="12"/>
                <w:color w:val="auto"/>
              </w:rPr>
            </w:pPr>
          </w:p>
        </w:tc>
        <w:tc>
          <w:tcPr>
            <w:tcW w:w="2800" w:type="dxa"/>
            <w:vAlign w:val="bottom"/>
          </w:tcPr>
          <w:p>
            <w:pPr>
              <w:spacing w:after="0" w:line="147" w:lineRule="exact"/>
              <w:rPr>
                <w:sz w:val="20"/>
                <w:szCs w:val="20"/>
                <w:color w:val="auto"/>
              </w:rPr>
            </w:pPr>
            <w:r>
              <w:rPr>
                <w:rFonts w:ascii="Arial" w:cs="Arial" w:eastAsia="Arial" w:hAnsi="Arial"/>
                <w:sz w:val="13"/>
                <w:szCs w:val="13"/>
                <w:b w:val="1"/>
                <w:bCs w:val="1"/>
                <w:color w:val="auto"/>
              </w:rPr>
              <w:t>Other income (expense):</w:t>
            </w: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Fees and commissions, net</w:t>
            </w:r>
          </w:p>
        </w:tc>
        <w:tc>
          <w:tcPr>
            <w:tcW w:w="8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7,311</w:t>
            </w:r>
          </w:p>
        </w:tc>
        <w:tc>
          <w:tcPr>
            <w:tcW w:w="12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4,271</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3,040</w:t>
            </w: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2,794</w:t>
            </w:r>
          </w:p>
        </w:tc>
        <w:tc>
          <w:tcPr>
            <w:tcW w:w="2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2,611</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2"/>
              <w:spacing w:after="0" w:line="134" w:lineRule="exact"/>
              <w:rPr>
                <w:sz w:val="20"/>
                <w:szCs w:val="20"/>
                <w:color w:val="auto"/>
              </w:rPr>
            </w:pPr>
            <w:r>
              <w:rPr>
                <w:rFonts w:ascii="Arial" w:cs="Arial" w:eastAsia="Arial" w:hAnsi="Arial"/>
                <w:sz w:val="13"/>
                <w:szCs w:val="13"/>
                <w:color w:val="auto"/>
              </w:rPr>
              <w:t>1,940</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5,013</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Gain (loss) on financial instruments, net</w:t>
            </w:r>
          </w:p>
        </w:tc>
        <w:tc>
          <w:tcPr>
            <w:tcW w:w="80" w:type="dxa"/>
            <w:vAlign w:val="bottom"/>
          </w:tcPr>
          <w:p>
            <w:pPr>
              <w:spacing w:after="0"/>
              <w:rPr>
                <w:sz w:val="11"/>
                <w:szCs w:val="11"/>
                <w:color w:val="auto"/>
              </w:rPr>
            </w:pP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163</w:t>
            </w:r>
          </w:p>
        </w:tc>
        <w:tc>
          <w:tcPr>
            <w:tcW w:w="120" w:type="dxa"/>
            <w:vAlign w:val="bottom"/>
          </w:tcPr>
          <w:p>
            <w:pPr>
              <w:spacing w:after="0"/>
              <w:rPr>
                <w:sz w:val="11"/>
                <w:szCs w:val="11"/>
                <w:color w:val="auto"/>
              </w:rPr>
            </w:pPr>
          </w:p>
        </w:tc>
        <w:tc>
          <w:tcPr>
            <w:tcW w:w="10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234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(71)</w:t>
            </w:r>
          </w:p>
        </w:tc>
        <w:tc>
          <w:tcPr>
            <w:tcW w:w="140" w:type="dxa"/>
            <w:vAlign w:val="bottom"/>
          </w:tcPr>
          <w:p>
            <w:pPr>
              <w:spacing w:after="0"/>
              <w:rPr>
                <w:sz w:val="11"/>
                <w:szCs w:val="11"/>
                <w:color w:val="auto"/>
              </w:rPr>
            </w:pPr>
          </w:p>
        </w:tc>
        <w:tc>
          <w:tcPr>
            <w:tcW w:w="108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(50)</w:t>
            </w:r>
          </w:p>
        </w:tc>
        <w:tc>
          <w:tcPr>
            <w:tcW w:w="220" w:type="dxa"/>
            <w:vAlign w:val="bottom"/>
          </w:tcPr>
          <w:p>
            <w:pPr>
              <w:spacing w:after="0"/>
              <w:rPr>
                <w:sz w:val="11"/>
                <w:szCs w:val="11"/>
                <w:color w:val="auto"/>
              </w:rPr>
            </w:pPr>
          </w:p>
        </w:tc>
        <w:tc>
          <w:tcPr>
            <w:tcW w:w="9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(437)</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42"/>
              <w:spacing w:after="0" w:line="134" w:lineRule="exact"/>
              <w:rPr>
                <w:sz w:val="20"/>
                <w:szCs w:val="20"/>
                <w:color w:val="auto"/>
              </w:rPr>
            </w:pPr>
            <w:r>
              <w:rPr>
                <w:rFonts w:ascii="Arial" w:cs="Arial" w:eastAsia="Arial" w:hAnsi="Arial"/>
                <w:sz w:val="13"/>
                <w:szCs w:val="13"/>
                <w:color w:val="auto"/>
              </w:rPr>
              <w:t>(3,949)</w:t>
            </w:r>
          </w:p>
        </w:tc>
        <w:tc>
          <w:tcPr>
            <w:tcW w:w="80" w:type="dxa"/>
            <w:vAlign w:val="bottom"/>
          </w:tcPr>
          <w:p>
            <w:pPr>
              <w:spacing w:after="0"/>
              <w:rPr>
                <w:sz w:val="11"/>
                <w:szCs w:val="11"/>
                <w:color w:val="auto"/>
              </w:rPr>
            </w:pPr>
          </w:p>
        </w:tc>
        <w:tc>
          <w:tcPr>
            <w:tcW w:w="1040" w:type="dxa"/>
            <w:vAlign w:val="bottom"/>
            <w:gridSpan w:val="2"/>
          </w:tcPr>
          <w:p>
            <w:pPr>
              <w:jc w:val="right"/>
              <w:ind w:right="80"/>
              <w:spacing w:after="0" w:line="134" w:lineRule="exact"/>
              <w:rPr>
                <w:sz w:val="20"/>
                <w:szCs w:val="20"/>
                <w:color w:val="auto"/>
              </w:rPr>
            </w:pPr>
            <w:r>
              <w:rPr>
                <w:rFonts w:ascii="Arial" w:cs="Arial" w:eastAsia="Arial" w:hAnsi="Arial"/>
                <w:sz w:val="13"/>
                <w:szCs w:val="13"/>
                <w:color w:val="auto"/>
              </w:rPr>
              <w:t>(4,307)</w:t>
            </w: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2800" w:type="dxa"/>
            <w:vAlign w:val="bottom"/>
            <w:shd w:val="clear" w:color="auto" w:fill="CCEEFF"/>
          </w:tcPr>
          <w:p>
            <w:pPr>
              <w:spacing w:after="0" w:line="147" w:lineRule="exact"/>
              <w:rPr>
                <w:sz w:val="20"/>
                <w:szCs w:val="20"/>
                <w:color w:val="auto"/>
              </w:rPr>
            </w:pPr>
            <w:r>
              <w:rPr>
                <w:rFonts w:ascii="Arial" w:cs="Arial" w:eastAsia="Arial" w:hAnsi="Arial"/>
                <w:sz w:val="13"/>
                <w:szCs w:val="13"/>
                <w:color w:val="auto"/>
              </w:rPr>
              <w:t>Other income, net</w:t>
            </w:r>
          </w:p>
        </w:tc>
        <w:tc>
          <w:tcPr>
            <w:tcW w:w="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3"/>
                <w:szCs w:val="13"/>
                <w:color w:val="auto"/>
              </w:rPr>
              <w:t>184</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3"/>
                <w:szCs w:val="13"/>
                <w:color w:val="auto"/>
              </w:rPr>
              <w:t>87</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7" w:lineRule="exact"/>
              <w:rPr>
                <w:sz w:val="20"/>
                <w:szCs w:val="20"/>
                <w:color w:val="auto"/>
              </w:rPr>
            </w:pPr>
            <w:r>
              <w:rPr>
                <w:rFonts w:ascii="Arial" w:cs="Arial" w:eastAsia="Arial" w:hAnsi="Arial"/>
                <w:sz w:val="13"/>
                <w:szCs w:val="13"/>
                <w:color w:val="auto"/>
              </w:rPr>
              <w:t>97</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3"/>
                <w:szCs w:val="13"/>
                <w:color w:val="auto"/>
              </w:rPr>
              <w:t>245</w:t>
            </w:r>
          </w:p>
        </w:tc>
        <w:tc>
          <w:tcPr>
            <w:tcW w:w="2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3"/>
                <w:szCs w:val="13"/>
                <w:color w:val="auto"/>
              </w:rPr>
              <w:t>407</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7" w:lineRule="exact"/>
              <w:rPr>
                <w:sz w:val="20"/>
                <w:szCs w:val="20"/>
                <w:color w:val="auto"/>
              </w:rPr>
            </w:pPr>
            <w:r>
              <w:rPr>
                <w:rFonts w:ascii="Arial" w:cs="Arial" w:eastAsia="Arial" w:hAnsi="Arial"/>
                <w:sz w:val="13"/>
                <w:szCs w:val="13"/>
                <w:color w:val="auto"/>
              </w:rPr>
              <w:t>191</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3"/>
                <w:szCs w:val="13"/>
                <w:color w:val="auto"/>
              </w:rPr>
              <w:t>431</w:t>
            </w:r>
          </w:p>
        </w:tc>
        <w:tc>
          <w:tcPr>
            <w:tcW w:w="0" w:type="dxa"/>
            <w:vAlign w:val="bottom"/>
          </w:tcPr>
          <w:p>
            <w:pPr>
              <w:spacing w:after="0"/>
              <w:rPr>
                <w:sz w:val="1"/>
                <w:szCs w:val="1"/>
                <w:color w:val="auto"/>
              </w:rPr>
            </w:pPr>
          </w:p>
        </w:tc>
      </w:tr>
      <w:tr>
        <w:trPr>
          <w:trHeight w:val="126"/>
        </w:trPr>
        <w:tc>
          <w:tcPr>
            <w:tcW w:w="20" w:type="dxa"/>
            <w:vAlign w:val="bottom"/>
          </w:tcPr>
          <w:p>
            <w:pPr>
              <w:spacing w:after="0"/>
              <w:rPr>
                <w:sz w:val="10"/>
                <w:szCs w:val="10"/>
                <w:color w:val="auto"/>
              </w:rPr>
            </w:pPr>
          </w:p>
        </w:tc>
        <w:tc>
          <w:tcPr>
            <w:tcW w:w="2800" w:type="dxa"/>
            <w:vAlign w:val="bottom"/>
            <w:tcBorders>
              <w:bottom w:val="single" w:sz="8" w:color="CCEEFF"/>
            </w:tcBorders>
          </w:tcPr>
          <w:p>
            <w:pPr>
              <w:spacing w:after="0" w:line="127" w:lineRule="exact"/>
              <w:rPr>
                <w:sz w:val="20"/>
                <w:szCs w:val="20"/>
                <w:color w:val="auto"/>
              </w:rPr>
            </w:pPr>
            <w:r>
              <w:rPr>
                <w:rFonts w:ascii="Arial" w:cs="Arial" w:eastAsia="Arial" w:hAnsi="Arial"/>
                <w:sz w:val="13"/>
                <w:szCs w:val="13"/>
                <w:color w:val="auto"/>
              </w:rPr>
              <w:t>Total other income, net</w:t>
            </w:r>
          </w:p>
        </w:tc>
        <w:tc>
          <w:tcPr>
            <w:tcW w:w="80" w:type="dxa"/>
            <w:vAlign w:val="bottom"/>
            <w:tcBorders>
              <w:top w:val="single" w:sz="8" w:color="auto"/>
              <w:bottom w:val="single" w:sz="8" w:color="auto"/>
            </w:tcBorders>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7,658</w:t>
            </w:r>
          </w:p>
        </w:tc>
        <w:tc>
          <w:tcPr>
            <w:tcW w:w="220" w:type="dxa"/>
            <w:vAlign w:val="bottom"/>
            <w:tcBorders>
              <w:bottom w:val="single" w:sz="8" w:color="CCEEFF"/>
            </w:tcBorders>
          </w:tcPr>
          <w:p>
            <w:pPr>
              <w:spacing w:after="0"/>
              <w:rPr>
                <w:sz w:val="10"/>
                <w:szCs w:val="10"/>
                <w:color w:val="auto"/>
              </w:rPr>
            </w:pPr>
          </w:p>
        </w:tc>
        <w:tc>
          <w:tcPr>
            <w:tcW w:w="120" w:type="dxa"/>
            <w:vAlign w:val="bottom"/>
            <w:tcBorders>
              <w:top w:val="single" w:sz="8" w:color="auto"/>
              <w:bottom w:val="single" w:sz="8" w:color="auto"/>
            </w:tcBorders>
          </w:tcPr>
          <w:p>
            <w:pPr>
              <w:spacing w:after="0"/>
              <w:rPr>
                <w:sz w:val="10"/>
                <w:szCs w:val="10"/>
                <w:color w:val="auto"/>
              </w:rPr>
            </w:pPr>
          </w:p>
        </w:tc>
        <w:tc>
          <w:tcPr>
            <w:tcW w:w="8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4,592</w:t>
            </w: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120" w:type="dxa"/>
            <w:vAlign w:val="bottom"/>
            <w:tcBorders>
              <w:top w:val="single" w:sz="8" w:color="auto"/>
              <w:bottom w:val="single" w:sz="8" w:color="auto"/>
            </w:tcBorders>
          </w:tcPr>
          <w:p>
            <w:pPr>
              <w:spacing w:after="0"/>
              <w:rPr>
                <w:sz w:val="10"/>
                <w:szCs w:val="10"/>
                <w:color w:val="auto"/>
              </w:rPr>
            </w:pPr>
          </w:p>
        </w:tc>
        <w:tc>
          <w:tcPr>
            <w:tcW w:w="8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3,066</w:t>
            </w:r>
          </w:p>
        </w:tc>
        <w:tc>
          <w:tcPr>
            <w:tcW w:w="220" w:type="dxa"/>
            <w:vAlign w:val="bottom"/>
            <w:tcBorders>
              <w:bottom w:val="single" w:sz="8" w:color="CCEEFF"/>
            </w:tcBorders>
          </w:tcPr>
          <w:p>
            <w:pPr>
              <w:spacing w:after="0"/>
              <w:rPr>
                <w:sz w:val="10"/>
                <w:szCs w:val="10"/>
                <w:color w:val="auto"/>
              </w:rPr>
            </w:pPr>
          </w:p>
        </w:tc>
        <w:tc>
          <w:tcPr>
            <w:tcW w:w="140" w:type="dxa"/>
            <w:vAlign w:val="bottom"/>
            <w:tcBorders>
              <w:top w:val="single" w:sz="8" w:color="auto"/>
              <w:bottom w:val="single" w:sz="8" w:color="auto"/>
            </w:tcBorders>
          </w:tcPr>
          <w:p>
            <w:pPr>
              <w:spacing w:after="0"/>
              <w:rPr>
                <w:sz w:val="10"/>
                <w:szCs w:val="10"/>
                <w:color w:val="auto"/>
              </w:rPr>
            </w:pPr>
          </w:p>
        </w:tc>
        <w:tc>
          <w:tcPr>
            <w:tcW w:w="86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2,989</w:t>
            </w:r>
          </w:p>
        </w:tc>
        <w:tc>
          <w:tcPr>
            <w:tcW w:w="220" w:type="dxa"/>
            <w:vAlign w:val="bottom"/>
            <w:tcBorders>
              <w:bottom w:val="single" w:sz="8" w:color="CCEEFF"/>
            </w:tcBorders>
          </w:tcPr>
          <w:p>
            <w:pPr>
              <w:spacing w:after="0"/>
              <w:rPr>
                <w:sz w:val="10"/>
                <w:szCs w:val="10"/>
                <w:color w:val="auto"/>
              </w:rPr>
            </w:pPr>
          </w:p>
        </w:tc>
        <w:tc>
          <w:tcPr>
            <w:tcW w:w="220" w:type="dxa"/>
            <w:vAlign w:val="bottom"/>
            <w:tcBorders>
              <w:top w:val="single" w:sz="8" w:color="auto"/>
              <w:bottom w:val="single" w:sz="8" w:color="auto"/>
            </w:tcBorders>
          </w:tcPr>
          <w:p>
            <w:pPr>
              <w:spacing w:after="0"/>
              <w:rPr>
                <w:sz w:val="10"/>
                <w:szCs w:val="10"/>
                <w:color w:val="auto"/>
              </w:rPr>
            </w:pPr>
          </w:p>
        </w:tc>
        <w:tc>
          <w:tcPr>
            <w:tcW w:w="7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2,581</w:t>
            </w:r>
          </w:p>
        </w:tc>
        <w:tc>
          <w:tcPr>
            <w:tcW w:w="160" w:type="dxa"/>
            <w:vAlign w:val="bottom"/>
            <w:tcBorders>
              <w:bottom w:val="single" w:sz="8" w:color="CCEEFF"/>
            </w:tcBorders>
          </w:tcPr>
          <w:p>
            <w:pPr>
              <w:spacing w:after="0"/>
              <w:rPr>
                <w:sz w:val="10"/>
                <w:szCs w:val="10"/>
                <w:color w:val="auto"/>
              </w:rPr>
            </w:pPr>
          </w:p>
        </w:tc>
        <w:tc>
          <w:tcPr>
            <w:tcW w:w="60" w:type="dxa"/>
            <w:vAlign w:val="bottom"/>
            <w:tcBorders>
              <w:bottom w:val="single" w:sz="8" w:color="CCEEFF"/>
            </w:tcBorders>
          </w:tcPr>
          <w:p>
            <w:pPr>
              <w:spacing w:after="0"/>
              <w:rPr>
                <w:sz w:val="10"/>
                <w:szCs w:val="10"/>
                <w:color w:val="auto"/>
              </w:rPr>
            </w:pPr>
          </w:p>
        </w:tc>
        <w:tc>
          <w:tcPr>
            <w:tcW w:w="140" w:type="dxa"/>
            <w:vAlign w:val="bottom"/>
            <w:tcBorders>
              <w:top w:val="single" w:sz="8" w:color="auto"/>
              <w:bottom w:val="single" w:sz="8" w:color="auto"/>
            </w:tcBorders>
          </w:tcPr>
          <w:p>
            <w:pPr>
              <w:spacing w:after="0"/>
              <w:rPr>
                <w:sz w:val="10"/>
                <w:szCs w:val="10"/>
                <w:color w:val="auto"/>
              </w:rPr>
            </w:pPr>
          </w:p>
        </w:tc>
        <w:tc>
          <w:tcPr>
            <w:tcW w:w="86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(1,818</w:t>
            </w:r>
          </w:p>
        </w:tc>
        <w:tc>
          <w:tcPr>
            <w:tcW w:w="220" w:type="dxa"/>
            <w:vAlign w:val="bottom"/>
            <w:tcBorders>
              <w:bottom w:val="single" w:sz="8" w:color="CCEEFF"/>
            </w:tcBorders>
          </w:tcPr>
          <w:p>
            <w:pPr>
              <w:jc w:val="right"/>
              <w:ind w:right="142"/>
              <w:spacing w:after="0"/>
              <w:rPr>
                <w:sz w:val="20"/>
                <w:szCs w:val="20"/>
                <w:color w:val="auto"/>
              </w:rPr>
            </w:pPr>
            <w:r>
              <w:rPr>
                <w:rFonts w:ascii="Arial" w:cs="Arial" w:eastAsia="Arial" w:hAnsi="Arial"/>
                <w:sz w:val="8"/>
                <w:szCs w:val="8"/>
                <w:color w:val="auto"/>
                <w:w w:val="73"/>
              </w:rPr>
              <w:t>)</w:t>
            </w:r>
          </w:p>
        </w:tc>
        <w:tc>
          <w:tcPr>
            <w:tcW w:w="80" w:type="dxa"/>
            <w:vAlign w:val="bottom"/>
            <w:tcBorders>
              <w:top w:val="single" w:sz="8" w:color="auto"/>
              <w:bottom w:val="single" w:sz="8" w:color="auto"/>
            </w:tcBorders>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3"/>
                <w:szCs w:val="13"/>
                <w:color w:val="auto"/>
              </w:rPr>
              <w:t>1,137</w:t>
            </w:r>
          </w:p>
        </w:tc>
        <w:tc>
          <w:tcPr>
            <w:tcW w:w="12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26"/>
        </w:trPr>
        <w:tc>
          <w:tcPr>
            <w:tcW w:w="20" w:type="dxa"/>
            <w:vAlign w:val="bottom"/>
            <w:vMerge w:val="restart"/>
          </w:tcPr>
          <w:p>
            <w:pPr>
              <w:spacing w:after="0"/>
              <w:rPr>
                <w:sz w:val="10"/>
                <w:szCs w:val="10"/>
                <w:color w:val="auto"/>
              </w:rPr>
            </w:pPr>
          </w:p>
        </w:tc>
        <w:tc>
          <w:tcPr>
            <w:tcW w:w="2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b w:val="1"/>
                <w:bCs w:val="1"/>
                <w:color w:val="auto"/>
              </w:rPr>
              <w:t>Total revenues</w:t>
            </w:r>
          </w:p>
        </w:tc>
        <w:tc>
          <w:tcPr>
            <w:tcW w:w="80" w:type="dxa"/>
            <w:vAlign w:val="bottom"/>
          </w:tcPr>
          <w:p>
            <w:pPr>
              <w:spacing w:after="0"/>
              <w:rPr>
                <w:sz w:val="11"/>
                <w:szCs w:val="11"/>
                <w:color w:val="auto"/>
              </w:rPr>
            </w:pP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47,551</w:t>
            </w:r>
          </w:p>
        </w:tc>
        <w:tc>
          <w:tcPr>
            <w:tcW w:w="120" w:type="dxa"/>
            <w:vAlign w:val="bottom"/>
          </w:tcPr>
          <w:p>
            <w:pPr>
              <w:spacing w:after="0"/>
              <w:rPr>
                <w:sz w:val="11"/>
                <w:szCs w:val="11"/>
                <w:color w:val="auto"/>
              </w:rPr>
            </w:pPr>
          </w:p>
        </w:tc>
        <w:tc>
          <w:tcPr>
            <w:tcW w:w="10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25,590</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21,961</w:t>
            </w:r>
          </w:p>
        </w:tc>
        <w:tc>
          <w:tcPr>
            <w:tcW w:w="140" w:type="dxa"/>
            <w:vAlign w:val="bottom"/>
          </w:tcPr>
          <w:p>
            <w:pPr>
              <w:spacing w:after="0"/>
              <w:rPr>
                <w:sz w:val="11"/>
                <w:szCs w:val="11"/>
                <w:color w:val="auto"/>
              </w:rPr>
            </w:pPr>
          </w:p>
        </w:tc>
        <w:tc>
          <w:tcPr>
            <w:tcW w:w="108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25,307</w:t>
            </w:r>
          </w:p>
        </w:tc>
        <w:tc>
          <w:tcPr>
            <w:tcW w:w="220" w:type="dxa"/>
            <w:vAlign w:val="bottom"/>
          </w:tcPr>
          <w:p>
            <w:pPr>
              <w:spacing w:after="0"/>
              <w:rPr>
                <w:sz w:val="11"/>
                <w:szCs w:val="11"/>
                <w:color w:val="auto"/>
              </w:rPr>
            </w:pP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25,189</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19,905</w:t>
            </w: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48,660</w:t>
            </w: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2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(Provision) reversal for credit losses</w:t>
            </w:r>
          </w:p>
        </w:tc>
        <w:tc>
          <w:tcPr>
            <w:tcW w:w="80" w:type="dxa"/>
            <w:vAlign w:val="bottom"/>
          </w:tcPr>
          <w:p>
            <w:pPr>
              <w:spacing w:after="0"/>
              <w:rPr>
                <w:sz w:val="11"/>
                <w:szCs w:val="11"/>
                <w:color w:val="auto"/>
              </w:rPr>
            </w:pPr>
          </w:p>
        </w:tc>
        <w:tc>
          <w:tcPr>
            <w:tcW w:w="1140" w:type="dxa"/>
            <w:vAlign w:val="bottom"/>
            <w:gridSpan w:val="2"/>
          </w:tcPr>
          <w:p>
            <w:pPr>
              <w:jc w:val="right"/>
              <w:ind w:right="180"/>
              <w:spacing w:after="0" w:line="134" w:lineRule="exact"/>
              <w:rPr>
                <w:sz w:val="20"/>
                <w:szCs w:val="20"/>
                <w:color w:val="auto"/>
              </w:rPr>
            </w:pPr>
            <w:r>
              <w:rPr>
                <w:rFonts w:ascii="Arial" w:cs="Arial" w:eastAsia="Arial" w:hAnsi="Arial"/>
                <w:sz w:val="13"/>
                <w:szCs w:val="13"/>
                <w:color w:val="auto"/>
              </w:rPr>
              <w:t>(1,384)</w:t>
            </w:r>
          </w:p>
        </w:tc>
        <w:tc>
          <w:tcPr>
            <w:tcW w:w="120" w:type="dxa"/>
            <w:vAlign w:val="bottom"/>
          </w:tcPr>
          <w:p>
            <w:pPr>
              <w:spacing w:after="0"/>
              <w:rPr>
                <w:sz w:val="11"/>
                <w:szCs w:val="11"/>
                <w:color w:val="auto"/>
              </w:rPr>
            </w:pPr>
          </w:p>
        </w:tc>
        <w:tc>
          <w:tcPr>
            <w:tcW w:w="10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(1,384)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jc w:val="right"/>
              <w:spacing w:after="0" w:line="134" w:lineRule="exact"/>
              <w:rPr>
                <w:sz w:val="20"/>
                <w:szCs w:val="20"/>
                <w:color w:val="auto"/>
              </w:rPr>
            </w:pPr>
            <w:r>
              <w:rPr>
                <w:rFonts w:ascii="Arial" w:cs="Arial" w:eastAsia="Arial" w:hAnsi="Arial"/>
                <w:sz w:val="13"/>
                <w:szCs w:val="13"/>
                <w:color w:val="auto"/>
              </w:rPr>
              <w:t>0</w:t>
            </w: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311</w:t>
            </w:r>
          </w:p>
        </w:tc>
        <w:tc>
          <w:tcPr>
            <w:tcW w:w="220" w:type="dxa"/>
            <w:vAlign w:val="bottom"/>
          </w:tcPr>
          <w:p>
            <w:pPr>
              <w:spacing w:after="0"/>
              <w:rPr>
                <w:sz w:val="11"/>
                <w:szCs w:val="11"/>
                <w:color w:val="auto"/>
              </w:rPr>
            </w:pPr>
          </w:p>
        </w:tc>
        <w:tc>
          <w:tcPr>
            <w:tcW w:w="9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(1,543)</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2,607</w:t>
            </w: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2,696</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Gain (loss) on non-financial assets, net</w:t>
            </w:r>
          </w:p>
        </w:tc>
        <w:tc>
          <w:tcPr>
            <w:tcW w:w="8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4"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3"/>
                <w:szCs w:val="13"/>
                <w:color w:val="auto"/>
              </w:rPr>
              <w:t>296</w:t>
            </w:r>
          </w:p>
        </w:tc>
        <w:tc>
          <w:tcPr>
            <w:tcW w:w="2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3"/>
                <w:szCs w:val="13"/>
                <w:color w:val="auto"/>
              </w:rPr>
              <w:t>140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42"/>
              <w:spacing w:after="0" w:line="134" w:lineRule="exact"/>
              <w:rPr>
                <w:sz w:val="20"/>
                <w:szCs w:val="20"/>
                <w:color w:val="auto"/>
              </w:rPr>
            </w:pPr>
            <w:r>
              <w:rPr>
                <w:rFonts w:ascii="Arial" w:cs="Arial" w:eastAsia="Arial" w:hAnsi="Arial"/>
                <w:sz w:val="13"/>
                <w:szCs w:val="13"/>
                <w:color w:val="auto"/>
              </w:rPr>
              <w:t>(140)</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3"/>
                <w:szCs w:val="13"/>
                <w:color w:val="auto"/>
              </w:rPr>
              <w:t>(140)</w:t>
            </w: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2800" w:type="dxa"/>
            <w:vAlign w:val="bottom"/>
          </w:tcPr>
          <w:p>
            <w:pPr>
              <w:spacing w:after="0" w:line="147" w:lineRule="exact"/>
              <w:rPr>
                <w:sz w:val="20"/>
                <w:szCs w:val="20"/>
                <w:color w:val="auto"/>
              </w:rPr>
            </w:pPr>
            <w:r>
              <w:rPr>
                <w:rFonts w:ascii="Arial" w:cs="Arial" w:eastAsia="Arial" w:hAnsi="Arial"/>
                <w:sz w:val="13"/>
                <w:szCs w:val="13"/>
                <w:color w:val="auto"/>
              </w:rPr>
              <w:t>Total operating expenses</w:t>
            </w:r>
          </w:p>
        </w:tc>
        <w:tc>
          <w:tcPr>
            <w:tcW w:w="80" w:type="dxa"/>
            <w:vAlign w:val="bottom"/>
          </w:tcPr>
          <w:p>
            <w:pPr>
              <w:spacing w:after="0"/>
              <w:rPr>
                <w:sz w:val="12"/>
                <w:szCs w:val="12"/>
                <w:color w:val="auto"/>
              </w:rPr>
            </w:pPr>
          </w:p>
        </w:tc>
        <w:tc>
          <w:tcPr>
            <w:tcW w:w="1140" w:type="dxa"/>
            <w:vAlign w:val="bottom"/>
            <w:gridSpan w:val="2"/>
          </w:tcPr>
          <w:p>
            <w:pPr>
              <w:jc w:val="right"/>
              <w:ind w:right="180"/>
              <w:spacing w:after="0" w:line="147" w:lineRule="exact"/>
              <w:rPr>
                <w:sz w:val="20"/>
                <w:szCs w:val="20"/>
                <w:color w:val="auto"/>
              </w:rPr>
            </w:pPr>
            <w:r>
              <w:rPr>
                <w:rFonts w:ascii="Arial" w:cs="Arial" w:eastAsia="Arial" w:hAnsi="Arial"/>
                <w:sz w:val="13"/>
                <w:szCs w:val="13"/>
                <w:color w:val="auto"/>
              </w:rPr>
              <w:t>(19,267)</w:t>
            </w:r>
          </w:p>
        </w:tc>
        <w:tc>
          <w:tcPr>
            <w:tcW w:w="120" w:type="dxa"/>
            <w:vAlign w:val="bottom"/>
          </w:tcPr>
          <w:p>
            <w:pPr>
              <w:spacing w:after="0"/>
              <w:rPr>
                <w:sz w:val="12"/>
                <w:szCs w:val="12"/>
                <w:color w:val="auto"/>
              </w:rPr>
            </w:pPr>
          </w:p>
        </w:tc>
        <w:tc>
          <w:tcPr>
            <w:tcW w:w="1040" w:type="dxa"/>
            <w:vAlign w:val="bottom"/>
            <w:gridSpan w:val="2"/>
          </w:tcPr>
          <w:p>
            <w:pPr>
              <w:jc w:val="right"/>
              <w:ind w:right="120"/>
              <w:spacing w:after="0" w:line="147" w:lineRule="exact"/>
              <w:rPr>
                <w:sz w:val="20"/>
                <w:szCs w:val="20"/>
                <w:color w:val="auto"/>
              </w:rPr>
            </w:pPr>
            <w:r>
              <w:rPr>
                <w:rFonts w:ascii="Arial" w:cs="Arial" w:eastAsia="Arial" w:hAnsi="Arial"/>
                <w:sz w:val="13"/>
                <w:szCs w:val="13"/>
                <w:color w:val="auto"/>
              </w:rPr>
              <w:t>(10,122)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gridSpan w:val="2"/>
          </w:tcPr>
          <w:p>
            <w:pPr>
              <w:jc w:val="right"/>
              <w:ind w:right="180"/>
              <w:spacing w:after="0" w:line="147" w:lineRule="exact"/>
              <w:rPr>
                <w:sz w:val="20"/>
                <w:szCs w:val="20"/>
                <w:color w:val="auto"/>
              </w:rPr>
            </w:pPr>
            <w:r>
              <w:rPr>
                <w:rFonts w:ascii="Arial" w:cs="Arial" w:eastAsia="Arial" w:hAnsi="Arial"/>
                <w:sz w:val="13"/>
                <w:szCs w:val="13"/>
                <w:color w:val="auto"/>
              </w:rPr>
              <w:t>(9,145)</w:t>
            </w:r>
          </w:p>
        </w:tc>
        <w:tc>
          <w:tcPr>
            <w:tcW w:w="140" w:type="dxa"/>
            <w:vAlign w:val="bottom"/>
          </w:tcPr>
          <w:p>
            <w:pPr>
              <w:spacing w:after="0"/>
              <w:rPr>
                <w:sz w:val="12"/>
                <w:szCs w:val="12"/>
                <w:color w:val="auto"/>
              </w:rPr>
            </w:pPr>
          </w:p>
        </w:tc>
        <w:tc>
          <w:tcPr>
            <w:tcW w:w="1080" w:type="dxa"/>
            <w:vAlign w:val="bottom"/>
            <w:gridSpan w:val="2"/>
          </w:tcPr>
          <w:p>
            <w:pPr>
              <w:jc w:val="right"/>
              <w:ind w:right="180"/>
              <w:spacing w:after="0" w:line="147" w:lineRule="exact"/>
              <w:rPr>
                <w:sz w:val="20"/>
                <w:szCs w:val="20"/>
                <w:color w:val="auto"/>
              </w:rPr>
            </w:pPr>
            <w:r>
              <w:rPr>
                <w:rFonts w:ascii="Arial" w:cs="Arial" w:eastAsia="Arial" w:hAnsi="Arial"/>
                <w:sz w:val="13"/>
                <w:szCs w:val="13"/>
                <w:color w:val="auto"/>
              </w:rPr>
              <w:t>(10,173)</w:t>
            </w:r>
          </w:p>
        </w:tc>
        <w:tc>
          <w:tcPr>
            <w:tcW w:w="220" w:type="dxa"/>
            <w:vAlign w:val="bottom"/>
          </w:tcPr>
          <w:p>
            <w:pPr>
              <w:spacing w:after="0"/>
              <w:rPr>
                <w:sz w:val="12"/>
                <w:szCs w:val="12"/>
                <w:color w:val="auto"/>
              </w:rPr>
            </w:pPr>
          </w:p>
        </w:tc>
        <w:tc>
          <w:tcPr>
            <w:tcW w:w="940" w:type="dxa"/>
            <w:vAlign w:val="bottom"/>
            <w:gridSpan w:val="2"/>
          </w:tcPr>
          <w:p>
            <w:pPr>
              <w:jc w:val="right"/>
              <w:ind w:right="120"/>
              <w:spacing w:after="0" w:line="147" w:lineRule="exact"/>
              <w:rPr>
                <w:sz w:val="20"/>
                <w:szCs w:val="20"/>
                <w:color w:val="auto"/>
              </w:rPr>
            </w:pPr>
            <w:r>
              <w:rPr>
                <w:rFonts w:ascii="Arial" w:cs="Arial" w:eastAsia="Arial" w:hAnsi="Arial"/>
                <w:sz w:val="13"/>
                <w:szCs w:val="13"/>
                <w:color w:val="auto"/>
              </w:rPr>
              <w:t>(8,342)</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42"/>
              <w:spacing w:after="0" w:line="147" w:lineRule="exact"/>
              <w:rPr>
                <w:sz w:val="20"/>
                <w:szCs w:val="20"/>
                <w:color w:val="auto"/>
              </w:rPr>
            </w:pPr>
            <w:r>
              <w:rPr>
                <w:rFonts w:ascii="Arial" w:cs="Arial" w:eastAsia="Arial" w:hAnsi="Arial"/>
                <w:sz w:val="13"/>
                <w:szCs w:val="13"/>
                <w:color w:val="auto"/>
              </w:rPr>
              <w:t>(8,266)</w:t>
            </w:r>
          </w:p>
        </w:tc>
        <w:tc>
          <w:tcPr>
            <w:tcW w:w="80" w:type="dxa"/>
            <w:vAlign w:val="bottom"/>
          </w:tcPr>
          <w:p>
            <w:pPr>
              <w:spacing w:after="0"/>
              <w:rPr>
                <w:sz w:val="12"/>
                <w:szCs w:val="12"/>
                <w:color w:val="auto"/>
              </w:rPr>
            </w:pPr>
          </w:p>
        </w:tc>
        <w:tc>
          <w:tcPr>
            <w:tcW w:w="1040" w:type="dxa"/>
            <w:vAlign w:val="bottom"/>
            <w:gridSpan w:val="2"/>
          </w:tcPr>
          <w:p>
            <w:pPr>
              <w:jc w:val="right"/>
              <w:ind w:right="80"/>
              <w:spacing w:after="0" w:line="147" w:lineRule="exact"/>
              <w:rPr>
                <w:sz w:val="20"/>
                <w:szCs w:val="20"/>
                <w:color w:val="auto"/>
              </w:rPr>
            </w:pPr>
            <w:r>
              <w:rPr>
                <w:rFonts w:ascii="Arial" w:cs="Arial" w:eastAsia="Arial" w:hAnsi="Arial"/>
                <w:sz w:val="13"/>
                <w:szCs w:val="13"/>
                <w:color w:val="auto"/>
              </w:rPr>
              <w:t>(18,808)</w:t>
            </w:r>
          </w:p>
        </w:tc>
        <w:tc>
          <w:tcPr>
            <w:tcW w:w="0" w:type="dxa"/>
            <w:vAlign w:val="bottom"/>
          </w:tcPr>
          <w:p>
            <w:pPr>
              <w:spacing w:after="0"/>
              <w:rPr>
                <w:sz w:val="1"/>
                <w:szCs w:val="1"/>
                <w:color w:val="auto"/>
              </w:rPr>
            </w:pPr>
          </w:p>
        </w:tc>
      </w:tr>
      <w:tr>
        <w:trPr>
          <w:trHeight w:val="139"/>
        </w:trPr>
        <w:tc>
          <w:tcPr>
            <w:tcW w:w="20" w:type="dxa"/>
            <w:vAlign w:val="bottom"/>
          </w:tcPr>
          <w:p>
            <w:pPr>
              <w:spacing w:after="0"/>
              <w:rPr>
                <w:sz w:val="12"/>
                <w:szCs w:val="12"/>
                <w:color w:val="auto"/>
              </w:rPr>
            </w:pPr>
          </w:p>
        </w:tc>
        <w:tc>
          <w:tcPr>
            <w:tcW w:w="2800" w:type="dxa"/>
            <w:vAlign w:val="bottom"/>
            <w:tcBorders>
              <w:top w:val="single" w:sz="8" w:color="CCEEFF"/>
              <w:bottom w:val="single" w:sz="8" w:color="CCEEFF"/>
            </w:tcBorders>
            <w:shd w:val="clear" w:color="auto" w:fill="CCEEFF"/>
          </w:tcPr>
          <w:p>
            <w:pPr>
              <w:spacing w:after="0" w:line="139" w:lineRule="exact"/>
              <w:rPr>
                <w:sz w:val="20"/>
                <w:szCs w:val="20"/>
                <w:color w:val="auto"/>
              </w:rPr>
            </w:pPr>
            <w:r>
              <w:rPr>
                <w:rFonts w:ascii="Arial" w:cs="Arial" w:eastAsia="Arial" w:hAnsi="Arial"/>
                <w:sz w:val="13"/>
                <w:szCs w:val="13"/>
                <w:b w:val="1"/>
                <w:bCs w:val="1"/>
                <w:color w:val="auto"/>
              </w:rPr>
              <w:t>Profit for the period</w:t>
            </w: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26,900</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ind w:right="11"/>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14,084</w:t>
            </w:r>
          </w:p>
        </w:tc>
        <w:tc>
          <w:tcPr>
            <w:tcW w:w="160" w:type="dxa"/>
            <w:vAlign w:val="bottom"/>
            <w:tcBorders>
              <w:top w:val="single" w:sz="8" w:color="CCEEFF"/>
              <w:bottom w:val="single" w:sz="8" w:color="CCEEFF"/>
            </w:tcBorders>
            <w:shd w:val="clear" w:color="auto" w:fill="CCEEFF"/>
          </w:tcPr>
          <w:p>
            <w:pPr>
              <w:spacing w:after="0"/>
              <w:rPr>
                <w:sz w:val="12"/>
                <w:szCs w:val="12"/>
                <w:color w:val="auto"/>
              </w:rPr>
            </w:pPr>
          </w:p>
        </w:tc>
        <w:tc>
          <w:tcPr>
            <w:tcW w:w="6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ind w:right="11"/>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12,816</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jc w:val="right"/>
              <w:ind w:right="31"/>
              <w:spacing w:after="0"/>
              <w:rPr>
                <w:sz w:val="20"/>
                <w:szCs w:val="20"/>
                <w:color w:val="auto"/>
              </w:rPr>
            </w:pPr>
            <w:r>
              <w:rPr>
                <w:rFonts w:ascii="Arial" w:cs="Arial" w:eastAsia="Arial" w:hAnsi="Arial"/>
                <w:sz w:val="10"/>
                <w:szCs w:val="10"/>
                <w:color w:val="auto"/>
                <w:w w:val="71"/>
              </w:rPr>
              <w:t>$</w:t>
            </w:r>
          </w:p>
        </w:tc>
        <w:tc>
          <w:tcPr>
            <w:tcW w:w="8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15,741</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ind w:right="111"/>
              <w:spacing w:after="0"/>
              <w:rPr>
                <w:sz w:val="20"/>
                <w:szCs w:val="20"/>
                <w:color w:val="auto"/>
              </w:rPr>
            </w:pPr>
            <w:r>
              <w:rPr>
                <w:rFonts w:ascii="Arial" w:cs="Arial" w:eastAsia="Arial" w:hAnsi="Arial"/>
                <w:sz w:val="10"/>
                <w:szCs w:val="10"/>
                <w:color w:val="auto"/>
                <w:w w:val="71"/>
              </w:rPr>
              <w:t>$</w:t>
            </w:r>
          </w:p>
        </w:tc>
        <w:tc>
          <w:tcPr>
            <w:tcW w:w="78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15,444</w:t>
            </w:r>
          </w:p>
        </w:tc>
        <w:tc>
          <w:tcPr>
            <w:tcW w:w="160" w:type="dxa"/>
            <w:vAlign w:val="bottom"/>
            <w:tcBorders>
              <w:top w:val="single" w:sz="8" w:color="CCEEFF"/>
              <w:bottom w:val="single" w:sz="8" w:color="CCEEFF"/>
            </w:tcBorders>
            <w:shd w:val="clear" w:color="auto" w:fill="CCEEFF"/>
          </w:tcPr>
          <w:p>
            <w:pPr>
              <w:spacing w:after="0"/>
              <w:rPr>
                <w:sz w:val="12"/>
                <w:szCs w:val="12"/>
                <w:color w:val="auto"/>
              </w:rPr>
            </w:pPr>
          </w:p>
        </w:tc>
        <w:tc>
          <w:tcPr>
            <w:tcW w:w="6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jc w:val="right"/>
              <w:ind w:right="31"/>
              <w:spacing w:after="0"/>
              <w:rPr>
                <w:sz w:val="20"/>
                <w:szCs w:val="20"/>
                <w:color w:val="auto"/>
              </w:rPr>
            </w:pPr>
            <w:r>
              <w:rPr>
                <w:rFonts w:ascii="Arial" w:cs="Arial" w:eastAsia="Arial" w:hAnsi="Arial"/>
                <w:sz w:val="10"/>
                <w:szCs w:val="10"/>
                <w:color w:val="auto"/>
                <w:w w:val="71"/>
              </w:rPr>
              <w:t>$</w:t>
            </w:r>
          </w:p>
        </w:tc>
        <w:tc>
          <w:tcPr>
            <w:tcW w:w="86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14,106</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tcBorders>
              <w:top w:val="single" w:sz="8" w:color="auto"/>
              <w:bottom w:val="single" w:sz="8" w:color="auto"/>
            </w:tcBorders>
            <w:shd w:val="clear" w:color="auto" w:fill="CCEEFF"/>
          </w:tcPr>
          <w:p>
            <w:pPr>
              <w:jc w:val="right"/>
              <w:spacing w:after="0" w:line="139" w:lineRule="exact"/>
              <w:rPr>
                <w:sz w:val="20"/>
                <w:szCs w:val="20"/>
                <w:color w:val="auto"/>
              </w:rPr>
            </w:pPr>
            <w:r>
              <w:rPr>
                <w:rFonts w:ascii="Arial" w:cs="Arial" w:eastAsia="Arial" w:hAnsi="Arial"/>
                <w:sz w:val="13"/>
                <w:szCs w:val="13"/>
                <w:color w:val="auto"/>
              </w:rPr>
              <w:t>32,408</w:t>
            </w:r>
          </w:p>
        </w:tc>
        <w:tc>
          <w:tcPr>
            <w:tcW w:w="120" w:type="dxa"/>
            <w:vAlign w:val="bottom"/>
            <w:tcBorders>
              <w:top w:val="single" w:sz="8" w:color="CCEEFF"/>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1"/>
        </w:trPr>
        <w:tc>
          <w:tcPr>
            <w:tcW w:w="20" w:type="dxa"/>
            <w:vAlign w:val="bottom"/>
            <w:vMerge w:val="restart"/>
          </w:tcPr>
          <w:p>
            <w:pPr>
              <w:spacing w:after="0"/>
              <w:rPr>
                <w:sz w:val="9"/>
                <w:szCs w:val="9"/>
                <w:color w:val="auto"/>
              </w:rPr>
            </w:pPr>
          </w:p>
        </w:tc>
        <w:tc>
          <w:tcPr>
            <w:tcW w:w="2800" w:type="dxa"/>
            <w:vAlign w:val="bottom"/>
          </w:tcPr>
          <w:p>
            <w:pPr>
              <w:spacing w:after="0"/>
              <w:rPr>
                <w:sz w:val="9"/>
                <w:szCs w:val="9"/>
                <w:color w:val="auto"/>
              </w:rPr>
            </w:pPr>
          </w:p>
        </w:tc>
        <w:tc>
          <w:tcPr>
            <w:tcW w:w="8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8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92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SELECTED FINANCIAL DATA</w:t>
            </w: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2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PER COMMON SHARE DATA</w:t>
            </w: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Basic earnings per share</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0.68</w:t>
            </w:r>
          </w:p>
        </w:tc>
        <w:tc>
          <w:tcPr>
            <w:tcW w:w="120" w:type="dxa"/>
            <w:vAlign w:val="bottom"/>
          </w:tcPr>
          <w:p>
            <w:pPr>
              <w:jc w:val="right"/>
              <w:ind w:right="11"/>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0.36</w:t>
            </w:r>
          </w:p>
        </w:tc>
        <w:tc>
          <w:tcPr>
            <w:tcW w:w="180" w:type="dxa"/>
            <w:vAlign w:val="bottom"/>
            <w:gridSpan w:val="2"/>
          </w:tcPr>
          <w:p>
            <w:pPr>
              <w:jc w:val="right"/>
              <w:ind w:right="11"/>
              <w:spacing w:after="0" w:line="134" w:lineRule="exact"/>
              <w:rPr>
                <w:sz w:val="20"/>
                <w:szCs w:val="20"/>
                <w:color w:val="auto"/>
              </w:rPr>
            </w:pPr>
            <w:r>
              <w:rPr>
                <w:rFonts w:ascii="Arial" w:cs="Arial" w:eastAsia="Arial" w:hAnsi="Arial"/>
                <w:sz w:val="13"/>
                <w:szCs w:val="13"/>
                <w:color w:val="auto"/>
              </w:rPr>
              <w:t>$</w:t>
            </w:r>
          </w:p>
        </w:tc>
        <w:tc>
          <w:tcPr>
            <w:tcW w:w="110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0.32</w:t>
            </w:r>
          </w:p>
        </w:tc>
        <w:tc>
          <w:tcPr>
            <w:tcW w:w="140" w:type="dxa"/>
            <w:vAlign w:val="bottom"/>
          </w:tcPr>
          <w:p>
            <w:pPr>
              <w:jc w:val="right"/>
              <w:ind w:right="31"/>
              <w:spacing w:after="0"/>
              <w:rPr>
                <w:sz w:val="20"/>
                <w:szCs w:val="20"/>
                <w:color w:val="auto"/>
              </w:rPr>
            </w:pPr>
            <w:r>
              <w:rPr>
                <w:rFonts w:ascii="Arial" w:cs="Arial" w:eastAsia="Arial" w:hAnsi="Arial"/>
                <w:sz w:val="10"/>
                <w:szCs w:val="10"/>
                <w:color w:val="auto"/>
                <w:w w:val="71"/>
              </w:rPr>
              <w:t>$</w:t>
            </w:r>
          </w:p>
        </w:tc>
        <w:tc>
          <w:tcPr>
            <w:tcW w:w="1080" w:type="dxa"/>
            <w:vAlign w:val="bottom"/>
            <w:gridSpan w:val="2"/>
          </w:tcPr>
          <w:p>
            <w:pPr>
              <w:jc w:val="right"/>
              <w:ind w:right="220"/>
              <w:spacing w:after="0" w:line="134" w:lineRule="exact"/>
              <w:rPr>
                <w:sz w:val="20"/>
                <w:szCs w:val="20"/>
                <w:color w:val="auto"/>
              </w:rPr>
            </w:pPr>
            <w:r>
              <w:rPr>
                <w:rFonts w:ascii="Arial" w:cs="Arial" w:eastAsia="Arial" w:hAnsi="Arial"/>
                <w:sz w:val="13"/>
                <w:szCs w:val="13"/>
                <w:color w:val="auto"/>
              </w:rPr>
              <w:t>0.40</w:t>
            </w:r>
          </w:p>
        </w:tc>
        <w:tc>
          <w:tcPr>
            <w:tcW w:w="220" w:type="dxa"/>
            <w:vAlign w:val="bottom"/>
          </w:tcPr>
          <w:p>
            <w:pPr>
              <w:jc w:val="right"/>
              <w:ind w:right="111"/>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3"/>
                <w:szCs w:val="13"/>
                <w:color w:val="auto"/>
              </w:rPr>
              <w:t>0.39</w:t>
            </w:r>
          </w:p>
        </w:tc>
        <w:tc>
          <w:tcPr>
            <w:tcW w:w="200" w:type="dxa"/>
            <w:vAlign w:val="bottom"/>
            <w:gridSpan w:val="2"/>
          </w:tcPr>
          <w:p>
            <w:pPr>
              <w:jc w:val="right"/>
              <w:ind w:right="31"/>
              <w:spacing w:after="0" w:line="134" w:lineRule="exact"/>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82"/>
              <w:spacing w:after="0" w:line="134" w:lineRule="exact"/>
              <w:rPr>
                <w:sz w:val="20"/>
                <w:szCs w:val="20"/>
                <w:color w:val="auto"/>
              </w:rPr>
            </w:pPr>
            <w:r>
              <w:rPr>
                <w:rFonts w:ascii="Arial" w:cs="Arial" w:eastAsia="Arial" w:hAnsi="Arial"/>
                <w:sz w:val="13"/>
                <w:szCs w:val="13"/>
                <w:color w:val="auto"/>
              </w:rPr>
              <w:t>0.36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0.82</w:t>
            </w:r>
          </w:p>
        </w:tc>
        <w:tc>
          <w:tcPr>
            <w:tcW w:w="0" w:type="dxa"/>
            <w:vAlign w:val="bottom"/>
          </w:tcPr>
          <w:p>
            <w:pPr>
              <w:spacing w:after="0"/>
              <w:rPr>
                <w:sz w:val="1"/>
                <w:szCs w:val="1"/>
                <w:color w:val="auto"/>
              </w:rPr>
            </w:pPr>
          </w:p>
        </w:tc>
      </w:tr>
      <w:tr>
        <w:trPr>
          <w:trHeight w:val="134"/>
        </w:trPr>
        <w:tc>
          <w:tcPr>
            <w:tcW w:w="20" w:type="dxa"/>
            <w:vAlign w:val="bottom"/>
            <w:vMerge w:val="restart"/>
          </w:tcPr>
          <w:p>
            <w:pPr>
              <w:spacing w:after="0"/>
              <w:rPr>
                <w:sz w:val="11"/>
                <w:szCs w:val="11"/>
                <w:color w:val="auto"/>
              </w:rPr>
            </w:pPr>
          </w:p>
        </w:tc>
        <w:tc>
          <w:tcPr>
            <w:tcW w:w="2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PERFORMANCE RATIOS</w:t>
            </w: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Return on average assets</w:t>
            </w:r>
          </w:p>
        </w:tc>
        <w:tc>
          <w:tcPr>
            <w:tcW w:w="8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0.8%</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1.0%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82"/>
              <w:spacing w:after="0" w:line="134" w:lineRule="exact"/>
              <w:rPr>
                <w:sz w:val="20"/>
                <w:szCs w:val="20"/>
                <w:color w:val="auto"/>
              </w:rPr>
            </w:pPr>
            <w:r>
              <w:rPr>
                <w:rFonts w:ascii="Arial" w:cs="Arial" w:eastAsia="Arial" w:hAnsi="Arial"/>
                <w:sz w:val="13"/>
                <w:szCs w:val="13"/>
                <w:color w:val="auto"/>
              </w:rPr>
              <w:t>0.8%</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Return on average equity</w:t>
            </w:r>
          </w:p>
        </w:tc>
        <w:tc>
          <w:tcPr>
            <w:tcW w:w="80" w:type="dxa"/>
            <w:vAlign w:val="bottom"/>
          </w:tcPr>
          <w:p>
            <w:pPr>
              <w:spacing w:after="0"/>
              <w:rPr>
                <w:sz w:val="11"/>
                <w:szCs w:val="11"/>
                <w:color w:val="auto"/>
              </w:rPr>
            </w:pPr>
          </w:p>
        </w:tc>
        <w:tc>
          <w:tcPr>
            <w:tcW w:w="11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5.2%</w:t>
            </w:r>
          </w:p>
        </w:tc>
        <w:tc>
          <w:tcPr>
            <w:tcW w:w="120" w:type="dxa"/>
            <w:vAlign w:val="bottom"/>
          </w:tcPr>
          <w:p>
            <w:pPr>
              <w:spacing w:after="0"/>
              <w:rPr>
                <w:sz w:val="11"/>
                <w:szCs w:val="11"/>
                <w:color w:val="auto"/>
              </w:rPr>
            </w:pPr>
          </w:p>
        </w:tc>
        <w:tc>
          <w:tcPr>
            <w:tcW w:w="104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5.4%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5.0%</w:t>
            </w:r>
          </w:p>
        </w:tc>
        <w:tc>
          <w:tcPr>
            <w:tcW w:w="140" w:type="dxa"/>
            <w:vAlign w:val="bottom"/>
          </w:tcPr>
          <w:p>
            <w:pPr>
              <w:spacing w:after="0"/>
              <w:rPr>
                <w:sz w:val="11"/>
                <w:szCs w:val="11"/>
                <w:color w:val="auto"/>
              </w:rPr>
            </w:pPr>
          </w:p>
        </w:tc>
        <w:tc>
          <w:tcPr>
            <w:tcW w:w="108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6.1%</w:t>
            </w:r>
          </w:p>
        </w:tc>
        <w:tc>
          <w:tcPr>
            <w:tcW w:w="220" w:type="dxa"/>
            <w:vAlign w:val="bottom"/>
          </w:tcPr>
          <w:p>
            <w:pPr>
              <w:spacing w:after="0"/>
              <w:rPr>
                <w:sz w:val="11"/>
                <w:szCs w:val="11"/>
                <w:color w:val="auto"/>
              </w:rPr>
            </w:pPr>
          </w:p>
        </w:tc>
        <w:tc>
          <w:tcPr>
            <w:tcW w:w="94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6.0%</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82"/>
              <w:spacing w:after="0" w:line="134" w:lineRule="exact"/>
              <w:rPr>
                <w:sz w:val="20"/>
                <w:szCs w:val="20"/>
                <w:color w:val="auto"/>
              </w:rPr>
            </w:pPr>
            <w:r>
              <w:rPr>
                <w:rFonts w:ascii="Arial" w:cs="Arial" w:eastAsia="Arial" w:hAnsi="Arial"/>
                <w:sz w:val="13"/>
                <w:szCs w:val="13"/>
                <w:color w:val="auto"/>
              </w:rPr>
              <w:t>5.5%</w:t>
            </w:r>
          </w:p>
        </w:tc>
        <w:tc>
          <w:tcPr>
            <w:tcW w:w="80" w:type="dxa"/>
            <w:vAlign w:val="bottom"/>
          </w:tcPr>
          <w:p>
            <w:pPr>
              <w:spacing w:after="0"/>
              <w:rPr>
                <w:sz w:val="11"/>
                <w:szCs w:val="11"/>
                <w:color w:val="auto"/>
              </w:rPr>
            </w:pPr>
          </w:p>
        </w:tc>
        <w:tc>
          <w:tcPr>
            <w:tcW w:w="1040" w:type="dxa"/>
            <w:vAlign w:val="bottom"/>
            <w:gridSpan w:val="2"/>
          </w:tcPr>
          <w:p>
            <w:pPr>
              <w:jc w:val="right"/>
              <w:ind w:right="20"/>
              <w:spacing w:after="0" w:line="134" w:lineRule="exact"/>
              <w:rPr>
                <w:sz w:val="20"/>
                <w:szCs w:val="20"/>
                <w:color w:val="auto"/>
              </w:rPr>
            </w:pPr>
            <w:r>
              <w:rPr>
                <w:rFonts w:ascii="Arial" w:cs="Arial" w:eastAsia="Arial" w:hAnsi="Arial"/>
                <w:sz w:val="13"/>
                <w:szCs w:val="13"/>
                <w:color w:val="auto"/>
              </w:rPr>
              <w:t>6.4%</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Net interest margin</w:t>
            </w:r>
          </w:p>
        </w:tc>
        <w:tc>
          <w:tcPr>
            <w:tcW w:w="8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1.26%</w:t>
            </w:r>
          </w:p>
        </w:tc>
        <w:tc>
          <w:tcPr>
            <w:tcW w:w="12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1.27%</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1.24%</w:t>
            </w: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1.37%</w:t>
            </w:r>
          </w:p>
        </w:tc>
        <w:tc>
          <w:tcPr>
            <w:tcW w:w="2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1.42%</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82"/>
              <w:spacing w:after="0" w:line="134" w:lineRule="exact"/>
              <w:rPr>
                <w:sz w:val="20"/>
                <w:szCs w:val="20"/>
                <w:color w:val="auto"/>
              </w:rPr>
            </w:pPr>
            <w:r>
              <w:rPr>
                <w:rFonts w:ascii="Arial" w:cs="Arial" w:eastAsia="Arial" w:hAnsi="Arial"/>
                <w:sz w:val="13"/>
                <w:szCs w:val="13"/>
                <w:color w:val="auto"/>
              </w:rPr>
              <w:t>1.28%</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3"/>
                <w:szCs w:val="13"/>
                <w:color w:val="auto"/>
              </w:rPr>
              <w:t>1.43%</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tcPr>
          <w:p>
            <w:pPr>
              <w:spacing w:after="0" w:line="134" w:lineRule="exact"/>
              <w:rPr>
                <w:sz w:val="20"/>
                <w:szCs w:val="20"/>
                <w:color w:val="auto"/>
              </w:rPr>
            </w:pPr>
            <w:r>
              <w:rPr>
                <w:rFonts w:ascii="Arial" w:cs="Arial" w:eastAsia="Arial" w:hAnsi="Arial"/>
                <w:sz w:val="13"/>
                <w:szCs w:val="13"/>
                <w:color w:val="auto"/>
              </w:rPr>
              <w:t>Net interest spread</w:t>
            </w:r>
          </w:p>
        </w:tc>
        <w:tc>
          <w:tcPr>
            <w:tcW w:w="80" w:type="dxa"/>
            <w:vAlign w:val="bottom"/>
          </w:tcPr>
          <w:p>
            <w:pPr>
              <w:spacing w:after="0"/>
              <w:rPr>
                <w:sz w:val="11"/>
                <w:szCs w:val="11"/>
                <w:color w:val="auto"/>
              </w:rPr>
            </w:pPr>
          </w:p>
        </w:tc>
        <w:tc>
          <w:tcPr>
            <w:tcW w:w="114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1.08%</w:t>
            </w:r>
          </w:p>
        </w:tc>
        <w:tc>
          <w:tcPr>
            <w:tcW w:w="120" w:type="dxa"/>
            <w:vAlign w:val="bottom"/>
          </w:tcPr>
          <w:p>
            <w:pPr>
              <w:spacing w:after="0"/>
              <w:rPr>
                <w:sz w:val="11"/>
                <w:szCs w:val="11"/>
                <w:color w:val="auto"/>
              </w:rPr>
            </w:pPr>
          </w:p>
        </w:tc>
        <w:tc>
          <w:tcPr>
            <w:tcW w:w="104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1.11%</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1.04%</w:t>
            </w:r>
          </w:p>
        </w:tc>
        <w:tc>
          <w:tcPr>
            <w:tcW w:w="140" w:type="dxa"/>
            <w:vAlign w:val="bottom"/>
          </w:tcPr>
          <w:p>
            <w:pPr>
              <w:spacing w:after="0"/>
              <w:rPr>
                <w:sz w:val="11"/>
                <w:szCs w:val="11"/>
                <w:color w:val="auto"/>
              </w:rPr>
            </w:pPr>
          </w:p>
        </w:tc>
        <w:tc>
          <w:tcPr>
            <w:tcW w:w="1080" w:type="dxa"/>
            <w:vAlign w:val="bottom"/>
            <w:gridSpan w:val="2"/>
          </w:tcPr>
          <w:p>
            <w:pPr>
              <w:jc w:val="right"/>
              <w:ind w:right="120"/>
              <w:spacing w:after="0" w:line="134" w:lineRule="exact"/>
              <w:rPr>
                <w:sz w:val="20"/>
                <w:szCs w:val="20"/>
                <w:color w:val="auto"/>
              </w:rPr>
            </w:pPr>
            <w:r>
              <w:rPr>
                <w:rFonts w:ascii="Arial" w:cs="Arial" w:eastAsia="Arial" w:hAnsi="Arial"/>
                <w:sz w:val="13"/>
                <w:szCs w:val="13"/>
                <w:color w:val="auto"/>
              </w:rPr>
              <w:t>1.17%</w:t>
            </w:r>
          </w:p>
        </w:tc>
        <w:tc>
          <w:tcPr>
            <w:tcW w:w="220" w:type="dxa"/>
            <w:vAlign w:val="bottom"/>
          </w:tcPr>
          <w:p>
            <w:pPr>
              <w:spacing w:after="0"/>
              <w:rPr>
                <w:sz w:val="11"/>
                <w:szCs w:val="11"/>
                <w:color w:val="auto"/>
              </w:rPr>
            </w:pPr>
          </w:p>
        </w:tc>
        <w:tc>
          <w:tcPr>
            <w:tcW w:w="940" w:type="dxa"/>
            <w:vAlign w:val="bottom"/>
            <w:gridSpan w:val="2"/>
          </w:tcPr>
          <w:p>
            <w:pPr>
              <w:jc w:val="right"/>
              <w:ind w:right="60"/>
              <w:spacing w:after="0" w:line="134" w:lineRule="exact"/>
              <w:rPr>
                <w:sz w:val="20"/>
                <w:szCs w:val="20"/>
                <w:color w:val="auto"/>
              </w:rPr>
            </w:pPr>
            <w:r>
              <w:rPr>
                <w:rFonts w:ascii="Arial" w:cs="Arial" w:eastAsia="Arial" w:hAnsi="Arial"/>
                <w:sz w:val="13"/>
                <w:szCs w:val="13"/>
                <w:color w:val="auto"/>
              </w:rPr>
              <w:t>1.19%</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82"/>
              <w:spacing w:after="0" w:line="134" w:lineRule="exact"/>
              <w:rPr>
                <w:sz w:val="20"/>
                <w:szCs w:val="20"/>
                <w:color w:val="auto"/>
              </w:rPr>
            </w:pPr>
            <w:r>
              <w:rPr>
                <w:rFonts w:ascii="Arial" w:cs="Arial" w:eastAsia="Arial" w:hAnsi="Arial"/>
                <w:sz w:val="13"/>
                <w:szCs w:val="13"/>
                <w:color w:val="auto"/>
              </w:rPr>
              <w:t>1.01%</w:t>
            </w:r>
          </w:p>
        </w:tc>
        <w:tc>
          <w:tcPr>
            <w:tcW w:w="80" w:type="dxa"/>
            <w:vAlign w:val="bottom"/>
          </w:tcPr>
          <w:p>
            <w:pPr>
              <w:spacing w:after="0"/>
              <w:rPr>
                <w:sz w:val="11"/>
                <w:szCs w:val="11"/>
                <w:color w:val="auto"/>
              </w:rPr>
            </w:pPr>
          </w:p>
        </w:tc>
        <w:tc>
          <w:tcPr>
            <w:tcW w:w="1040" w:type="dxa"/>
            <w:vAlign w:val="bottom"/>
            <w:gridSpan w:val="2"/>
          </w:tcPr>
          <w:p>
            <w:pPr>
              <w:jc w:val="right"/>
              <w:ind w:right="20"/>
              <w:spacing w:after="0" w:line="134" w:lineRule="exact"/>
              <w:rPr>
                <w:sz w:val="20"/>
                <w:szCs w:val="20"/>
                <w:color w:val="auto"/>
              </w:rPr>
            </w:pPr>
            <w:r>
              <w:rPr>
                <w:rFonts w:ascii="Arial" w:cs="Arial" w:eastAsia="Arial" w:hAnsi="Arial"/>
                <w:sz w:val="13"/>
                <w:szCs w:val="13"/>
                <w:color w:val="auto"/>
              </w:rPr>
              <w:t>1.09%</w:t>
            </w: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800" w:type="dxa"/>
            <w:vAlign w:val="bottom"/>
            <w:shd w:val="clear" w:color="auto" w:fill="CCEEFF"/>
          </w:tcPr>
          <w:p>
            <w:pPr>
              <w:spacing w:after="0" w:line="134" w:lineRule="exact"/>
              <w:rPr>
                <w:sz w:val="20"/>
                <w:szCs w:val="20"/>
                <w:color w:val="auto"/>
              </w:rPr>
            </w:pPr>
            <w:r>
              <w:rPr>
                <w:rFonts w:ascii="Arial" w:cs="Arial" w:eastAsia="Arial" w:hAnsi="Arial"/>
                <w:sz w:val="13"/>
                <w:szCs w:val="13"/>
                <w:color w:val="auto"/>
              </w:rPr>
              <w:t>Efficiency Ratio</w:t>
            </w:r>
          </w:p>
        </w:tc>
        <w:tc>
          <w:tcPr>
            <w:tcW w:w="8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40.5%</w:t>
            </w:r>
          </w:p>
        </w:tc>
        <w:tc>
          <w:tcPr>
            <w:tcW w:w="12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39.6%</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41.6%</w:t>
            </w: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3"/>
                <w:szCs w:val="13"/>
                <w:color w:val="auto"/>
              </w:rPr>
              <w:t>40.2%</w:t>
            </w:r>
          </w:p>
        </w:tc>
        <w:tc>
          <w:tcPr>
            <w:tcW w:w="2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3"/>
                <w:szCs w:val="13"/>
                <w:color w:val="auto"/>
              </w:rPr>
              <w:t>33.1%</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82"/>
              <w:spacing w:after="0" w:line="134" w:lineRule="exact"/>
              <w:rPr>
                <w:sz w:val="20"/>
                <w:szCs w:val="20"/>
                <w:color w:val="auto"/>
              </w:rPr>
            </w:pPr>
            <w:r>
              <w:rPr>
                <w:rFonts w:ascii="Arial" w:cs="Arial" w:eastAsia="Arial" w:hAnsi="Arial"/>
                <w:sz w:val="13"/>
                <w:szCs w:val="13"/>
                <w:color w:val="auto"/>
              </w:rPr>
              <w:t>41.5%</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3"/>
                <w:szCs w:val="13"/>
                <w:color w:val="auto"/>
              </w:rPr>
              <w:t>38.7%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800" w:type="dxa"/>
            <w:vAlign w:val="bottom"/>
          </w:tcPr>
          <w:p>
            <w:pPr>
              <w:spacing w:after="0"/>
              <w:rPr>
                <w:sz w:val="20"/>
                <w:szCs w:val="20"/>
                <w:color w:val="auto"/>
              </w:rPr>
            </w:pPr>
            <w:r>
              <w:rPr>
                <w:rFonts w:ascii="Arial" w:cs="Arial" w:eastAsia="Arial" w:hAnsi="Arial"/>
                <w:sz w:val="13"/>
                <w:szCs w:val="13"/>
                <w:color w:val="auto"/>
              </w:rPr>
              <w:t>Operating expenses to total average assets</w:t>
            </w:r>
          </w:p>
        </w:tc>
        <w:tc>
          <w:tcPr>
            <w:tcW w:w="8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0.60%</w:t>
            </w:r>
          </w:p>
        </w:tc>
        <w:tc>
          <w:tcPr>
            <w:tcW w:w="120" w:type="dxa"/>
            <w:vAlign w:val="bottom"/>
          </w:tcPr>
          <w:p>
            <w:pPr>
              <w:spacing w:after="0"/>
              <w:rPr>
                <w:sz w:val="14"/>
                <w:szCs w:val="14"/>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3"/>
                <w:szCs w:val="13"/>
                <w:color w:val="auto"/>
              </w:rPr>
              <w:t>0.60%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0.59%</w:t>
            </w:r>
          </w:p>
        </w:tc>
        <w:tc>
          <w:tcPr>
            <w:tcW w:w="14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0.62%</w:t>
            </w:r>
          </w:p>
        </w:tc>
        <w:tc>
          <w:tcPr>
            <w:tcW w:w="22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3"/>
                <w:szCs w:val="13"/>
                <w:color w:val="auto"/>
              </w:rPr>
              <w:t>0.52%</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80" w:type="dxa"/>
            <w:vAlign w:val="bottom"/>
            <w:gridSpan w:val="2"/>
          </w:tcPr>
          <w:p>
            <w:pPr>
              <w:jc w:val="right"/>
              <w:ind w:right="82"/>
              <w:spacing w:after="0"/>
              <w:rPr>
                <w:sz w:val="20"/>
                <w:szCs w:val="20"/>
                <w:color w:val="auto"/>
              </w:rPr>
            </w:pPr>
            <w:r>
              <w:rPr>
                <w:rFonts w:ascii="Arial" w:cs="Arial" w:eastAsia="Arial" w:hAnsi="Arial"/>
                <w:sz w:val="13"/>
                <w:szCs w:val="13"/>
                <w:color w:val="auto"/>
              </w:rPr>
              <w:t>0.48%</w:t>
            </w:r>
          </w:p>
        </w:tc>
        <w:tc>
          <w:tcPr>
            <w:tcW w:w="80" w:type="dxa"/>
            <w:vAlign w:val="bottom"/>
          </w:tcPr>
          <w:p>
            <w:pPr>
              <w:spacing w:after="0"/>
              <w:rPr>
                <w:sz w:val="14"/>
                <w:szCs w:val="14"/>
                <w:color w:val="auto"/>
              </w:rPr>
            </w:pPr>
          </w:p>
        </w:tc>
        <w:tc>
          <w:tcPr>
            <w:tcW w:w="1040" w:type="dxa"/>
            <w:vAlign w:val="bottom"/>
            <w:gridSpan w:val="2"/>
          </w:tcPr>
          <w:p>
            <w:pPr>
              <w:jc w:val="right"/>
              <w:ind w:right="20"/>
              <w:spacing w:after="0"/>
              <w:rPr>
                <w:sz w:val="20"/>
                <w:szCs w:val="20"/>
                <w:color w:val="auto"/>
              </w:rPr>
            </w:pPr>
            <w:r>
              <w:rPr>
                <w:rFonts w:ascii="Arial" w:cs="Arial" w:eastAsia="Arial" w:hAnsi="Arial"/>
                <w:sz w:val="13"/>
                <w:szCs w:val="13"/>
                <w:color w:val="auto"/>
              </w:rPr>
              <w:t>0.56%</w:t>
            </w:r>
          </w:p>
        </w:tc>
        <w:tc>
          <w:tcPr>
            <w:tcW w:w="0" w:type="dxa"/>
            <w:vAlign w:val="bottom"/>
          </w:tcPr>
          <w:p>
            <w:pPr>
              <w:spacing w:after="0"/>
              <w:rPr>
                <w:sz w:val="1"/>
                <w:szCs w:val="1"/>
                <w:color w:val="auto"/>
              </w:rPr>
            </w:pPr>
          </w:p>
        </w:tc>
      </w:tr>
      <w:tr>
        <w:trPr>
          <w:trHeight w:val="556"/>
        </w:trPr>
        <w:tc>
          <w:tcPr>
            <w:tcW w:w="20" w:type="dxa"/>
            <w:vAlign w:val="bottom"/>
          </w:tcPr>
          <w:p>
            <w:pPr>
              <w:spacing w:after="0"/>
              <w:rPr>
                <w:sz w:val="24"/>
                <w:szCs w:val="24"/>
                <w:color w:val="auto"/>
              </w:rPr>
            </w:pPr>
          </w:p>
        </w:tc>
        <w:tc>
          <w:tcPr>
            <w:tcW w:w="28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18</w:t>
            </w: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5"/>
            <w:vMerge w:val="restart"/>
          </w:tcPr>
          <w:p>
            <w:pPr>
              <w:jc w:val="right"/>
              <w:ind w:right="180"/>
              <w:spacing w:after="0"/>
              <w:rPr>
                <w:sz w:val="20"/>
                <w:szCs w:val="20"/>
                <w:color w:val="auto"/>
              </w:rPr>
            </w:pPr>
            <w:r>
              <w:rPr>
                <w:rFonts w:ascii="Arial" w:cs="Arial" w:eastAsia="Arial" w:hAnsi="Arial"/>
                <w:sz w:val="16"/>
                <w:szCs w:val="16"/>
                <w:color w:val="auto"/>
              </w:rPr>
              <w:t>BUSINESS SEGMENT ANALYSIS</w:t>
            </w:r>
          </w:p>
        </w:tc>
        <w:tc>
          <w:tcPr>
            <w:tcW w:w="1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gridSpan w:val="2"/>
          </w:tcPr>
          <w:p>
            <w:pPr>
              <w:jc w:val="right"/>
              <w:spacing w:after="0"/>
              <w:rPr>
                <w:sz w:val="20"/>
                <w:szCs w:val="20"/>
                <w:color w:val="auto"/>
              </w:rPr>
            </w:pPr>
            <w:r>
              <w:rPr>
                <w:rFonts w:ascii="Arial" w:cs="Arial" w:eastAsia="Arial" w:hAnsi="Arial"/>
                <w:sz w:val="16"/>
                <w:szCs w:val="16"/>
                <w:color w:val="auto"/>
              </w:rPr>
              <w:t>EXHIBIT VII</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5"/>
                <w:szCs w:val="15"/>
                <w:color w:val="auto"/>
              </w:rPr>
            </w:pPr>
          </w:p>
        </w:tc>
        <w:tc>
          <w:tcPr>
            <w:tcW w:w="4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800" w:type="dxa"/>
            <w:vAlign w:val="bottom"/>
            <w:gridSpan w:val="5"/>
            <w:vMerge w:val="continue"/>
          </w:tcPr>
          <w:p>
            <w:pPr>
              <w:spacing w:after="0"/>
              <w:rPr>
                <w:sz w:val="15"/>
                <w:szCs w:val="15"/>
                <w:color w:val="auto"/>
              </w:rPr>
            </w:pPr>
          </w:p>
        </w:tc>
        <w:tc>
          <w:tcPr>
            <w:tcW w:w="1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5"/>
          </w:tcPr>
          <w:p>
            <w:pPr>
              <w:jc w:val="right"/>
              <w:ind w:right="780"/>
              <w:spacing w:after="0"/>
              <w:rPr>
                <w:sz w:val="20"/>
                <w:szCs w:val="20"/>
                <w:color w:val="auto"/>
              </w:rPr>
            </w:pPr>
            <w:r>
              <w:rPr>
                <w:rFonts w:ascii="Arial" w:cs="Arial" w:eastAsia="Arial" w:hAnsi="Arial"/>
                <w:sz w:val="16"/>
                <w:szCs w:val="16"/>
                <w:color w:val="auto"/>
              </w:rPr>
              <w:t>(In US$ thousand)</w:t>
            </w:r>
          </w:p>
        </w:tc>
        <w:tc>
          <w:tcPr>
            <w:tcW w:w="1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28"/>
        </w:trPr>
        <w:tc>
          <w:tcPr>
            <w:tcW w:w="2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800" w:type="dxa"/>
            <w:vAlign w:val="bottom"/>
            <w:gridSpan w:val="5"/>
          </w:tcPr>
          <w:p>
            <w:pPr>
              <w:jc w:val="right"/>
              <w:ind w:right="420"/>
              <w:spacing w:after="0"/>
              <w:rPr>
                <w:sz w:val="20"/>
                <w:szCs w:val="20"/>
                <w:color w:val="auto"/>
              </w:rPr>
            </w:pPr>
            <w:r>
              <w:rPr>
                <w:rFonts w:ascii="Arial" w:cs="Arial" w:eastAsia="Arial" w:hAnsi="Arial"/>
                <w:sz w:val="16"/>
                <w:szCs w:val="16"/>
                <w:color w:val="auto"/>
              </w:rPr>
              <w:t>FOR THE SIX MONTHS ENDED</w:t>
            </w:r>
          </w:p>
        </w:tc>
        <w:tc>
          <w:tcPr>
            <w:tcW w:w="180" w:type="dxa"/>
            <w:vAlign w:val="bottom"/>
          </w:tcPr>
          <w:p>
            <w:pPr>
              <w:spacing w:after="0"/>
              <w:rPr>
                <w:sz w:val="24"/>
                <w:szCs w:val="24"/>
                <w:color w:val="auto"/>
              </w:rPr>
            </w:pPr>
          </w:p>
        </w:tc>
        <w:tc>
          <w:tcPr>
            <w:tcW w:w="4080" w:type="dxa"/>
            <w:vAlign w:val="bottom"/>
            <w:gridSpan w:val="10"/>
          </w:tcPr>
          <w:p>
            <w:pPr>
              <w:jc w:val="right"/>
              <w:ind w:right="900"/>
              <w:spacing w:after="0"/>
              <w:rPr>
                <w:sz w:val="20"/>
                <w:szCs w:val="20"/>
                <w:color w:val="auto"/>
              </w:rPr>
            </w:pPr>
            <w:r>
              <w:rPr>
                <w:rFonts w:ascii="Arial" w:cs="Arial" w:eastAsia="Arial" w:hAnsi="Arial"/>
                <w:sz w:val="16"/>
                <w:szCs w:val="16"/>
                <w:color w:val="auto"/>
              </w:rPr>
              <w:t>FOR THE THREE MONTHS ENDED</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36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6"/>
                <w:szCs w:val="16"/>
                <w:color w:val="auto"/>
              </w:rPr>
              <w:t>JUN 30/21</w:t>
            </w:r>
          </w:p>
        </w:tc>
        <w:tc>
          <w:tcPr>
            <w:tcW w:w="16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jc w:val="right"/>
              <w:ind w:right="179"/>
              <w:spacing w:after="0"/>
              <w:rPr>
                <w:sz w:val="20"/>
                <w:szCs w:val="20"/>
                <w:color w:val="auto"/>
              </w:rPr>
            </w:pPr>
            <w:r>
              <w:rPr>
                <w:rFonts w:ascii="Arial" w:cs="Arial" w:eastAsia="Arial" w:hAnsi="Arial"/>
                <w:sz w:val="16"/>
                <w:szCs w:val="16"/>
                <w:color w:val="auto"/>
              </w:rPr>
              <w:t>JUN 30/20</w:t>
            </w:r>
          </w:p>
        </w:tc>
        <w:tc>
          <w:tcPr>
            <w:tcW w:w="22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00" w:type="dxa"/>
            <w:vAlign w:val="bottom"/>
            <w:tcBorders>
              <w:top w:val="single" w:sz="8" w:color="auto"/>
            </w:tcBorders>
            <w:gridSpan w:val="2"/>
          </w:tcPr>
          <w:p>
            <w:pPr>
              <w:jc w:val="right"/>
              <w:ind w:right="400"/>
              <w:spacing w:after="0"/>
              <w:rPr>
                <w:sz w:val="20"/>
                <w:szCs w:val="20"/>
                <w:color w:val="auto"/>
              </w:rPr>
            </w:pPr>
            <w:r>
              <w:rPr>
                <w:rFonts w:ascii="Arial" w:cs="Arial" w:eastAsia="Arial" w:hAnsi="Arial"/>
                <w:sz w:val="16"/>
                <w:szCs w:val="16"/>
                <w:color w:val="auto"/>
              </w:rPr>
              <w:t>JUN 30/21</w:t>
            </w:r>
          </w:p>
        </w:tc>
        <w:tc>
          <w:tcPr>
            <w:tcW w:w="80" w:type="dxa"/>
            <w:vAlign w:val="bottom"/>
            <w:tcBorders>
              <w:top w:val="single" w:sz="8" w:color="auto"/>
            </w:tcBorders>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6"/>
                <w:szCs w:val="16"/>
                <w:color w:val="auto"/>
              </w:rPr>
              <w:t>MAR 31/21</w:t>
            </w:r>
          </w:p>
        </w:tc>
        <w:tc>
          <w:tcPr>
            <w:tcW w:w="8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jc w:val="right"/>
              <w:ind w:right="179"/>
              <w:spacing w:after="0"/>
              <w:rPr>
                <w:sz w:val="20"/>
                <w:szCs w:val="20"/>
                <w:color w:val="auto"/>
              </w:rPr>
            </w:pPr>
            <w:r>
              <w:rPr>
                <w:rFonts w:ascii="Arial" w:cs="Arial" w:eastAsia="Arial" w:hAnsi="Arial"/>
                <w:sz w:val="16"/>
                <w:szCs w:val="16"/>
                <w:color w:val="auto"/>
              </w:rPr>
              <w:t>JUN 30/20</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COMMERCIAL BUSINESS SEGMENT:</w:t>
            </w:r>
          </w:p>
        </w:tc>
        <w:tc>
          <w:tcPr>
            <w:tcW w:w="140" w:type="dxa"/>
            <w:vAlign w:val="bottom"/>
            <w:tcBorders>
              <w:top w:val="single" w:sz="8" w:color="auto"/>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Net interest income</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60" w:type="dxa"/>
            <w:vAlign w:val="bottom"/>
            <w:gridSpan w:val="2"/>
          </w:tcPr>
          <w:p>
            <w:pPr>
              <w:jc w:val="right"/>
              <w:ind w:right="240"/>
              <w:spacing w:after="0"/>
              <w:rPr>
                <w:sz w:val="20"/>
                <w:szCs w:val="20"/>
                <w:color w:val="auto"/>
              </w:rPr>
            </w:pPr>
            <w:r>
              <w:rPr>
                <w:rFonts w:ascii="Arial" w:cs="Arial" w:eastAsia="Arial" w:hAnsi="Arial"/>
                <w:sz w:val="16"/>
                <w:szCs w:val="16"/>
                <w:color w:val="auto"/>
              </w:rPr>
              <w:t>39,212</w:t>
            </w:r>
          </w:p>
        </w:tc>
        <w:tc>
          <w:tcPr>
            <w:tcW w:w="160" w:type="dxa"/>
            <w:vAlign w:val="bottom"/>
          </w:tcPr>
          <w:p>
            <w:pPr>
              <w:jc w:val="right"/>
              <w:ind w:right="4"/>
              <w:spacing w:after="0"/>
              <w:rPr>
                <w:sz w:val="20"/>
                <w:szCs w:val="20"/>
                <w:color w:val="auto"/>
              </w:rPr>
            </w:pPr>
            <w:r>
              <w:rPr>
                <w:rFonts w:ascii="Arial" w:cs="Arial" w:eastAsia="Arial" w:hAnsi="Arial"/>
                <w:sz w:val="15"/>
                <w:szCs w:val="15"/>
                <w:color w:val="auto"/>
                <w:w w:val="71"/>
              </w:rPr>
              <w:t>$</w:t>
            </w:r>
          </w:p>
        </w:tc>
        <w:tc>
          <w:tcPr>
            <w:tcW w:w="1280" w:type="dxa"/>
            <w:vAlign w:val="bottom"/>
            <w:gridSpan w:val="2"/>
          </w:tcPr>
          <w:p>
            <w:pPr>
              <w:jc w:val="right"/>
              <w:ind w:right="220"/>
              <w:spacing w:after="0"/>
              <w:rPr>
                <w:sz w:val="20"/>
                <w:szCs w:val="20"/>
                <w:color w:val="auto"/>
              </w:rPr>
            </w:pPr>
            <w:r>
              <w:rPr>
                <w:rFonts w:ascii="Arial" w:cs="Arial" w:eastAsia="Arial" w:hAnsi="Arial"/>
                <w:sz w:val="16"/>
                <w:szCs w:val="16"/>
                <w:color w:val="auto"/>
              </w:rPr>
              <w:t>45,685</w:t>
            </w:r>
          </w:p>
        </w:tc>
        <w:tc>
          <w:tcPr>
            <w:tcW w:w="180" w:type="dxa"/>
            <w:vAlign w:val="bottom"/>
          </w:tcPr>
          <w:p>
            <w:pPr>
              <w:jc w:val="right"/>
              <w:ind w:right="24"/>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20,480</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18,732</w:t>
            </w:r>
          </w:p>
        </w:tc>
        <w:tc>
          <w:tcPr>
            <w:tcW w:w="260" w:type="dxa"/>
            <w:vAlign w:val="bottom"/>
            <w:gridSpan w:val="2"/>
          </w:tcPr>
          <w:p>
            <w:pPr>
              <w:jc w:val="right"/>
              <w:ind w:right="24"/>
              <w:spacing w:after="0"/>
              <w:rPr>
                <w:sz w:val="20"/>
                <w:szCs w:val="20"/>
                <w:color w:val="auto"/>
              </w:rPr>
            </w:pPr>
            <w:r>
              <w:rPr>
                <w:rFonts w:ascii="Arial" w:cs="Arial" w:eastAsia="Arial" w:hAnsi="Arial"/>
                <w:sz w:val="16"/>
                <w:szCs w:val="16"/>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6"/>
                <w:szCs w:val="16"/>
                <w:color w:val="auto"/>
              </w:rPr>
              <w:t>20,919</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Other income</w:t>
            </w:r>
          </w:p>
        </w:tc>
        <w:tc>
          <w:tcPr>
            <w:tcW w:w="1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7,735</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2,559</w:t>
            </w: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4,479</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3,257</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(790)</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Total revenues</w:t>
            </w:r>
          </w:p>
        </w:tc>
        <w:tc>
          <w:tcPr>
            <w:tcW w:w="14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46,947</w:t>
            </w:r>
          </w:p>
        </w:tc>
        <w:tc>
          <w:tcPr>
            <w:tcW w:w="24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48,244</w:t>
            </w:r>
          </w:p>
        </w:tc>
        <w:tc>
          <w:tcPr>
            <w:tcW w:w="220" w:type="dxa"/>
            <w:vAlign w:val="bottom"/>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24,959</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21,989</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20,129</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(Provision) reversal for credit losses</w:t>
            </w:r>
          </w:p>
        </w:tc>
        <w:tc>
          <w:tcPr>
            <w:tcW w:w="140" w:type="dxa"/>
            <w:vAlign w:val="bottom"/>
            <w:shd w:val="clear" w:color="auto" w:fill="CCEEFF"/>
          </w:tcPr>
          <w:p>
            <w:pPr>
              <w:spacing w:after="0"/>
              <w:rPr>
                <w:sz w:val="16"/>
                <w:szCs w:val="16"/>
                <w:color w:val="auto"/>
              </w:rPr>
            </w:pP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(1,005)</w:t>
            </w:r>
          </w:p>
        </w:tc>
        <w:tc>
          <w:tcPr>
            <w:tcW w:w="16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2,696</w:t>
            </w:r>
          </w:p>
        </w:tc>
        <w:tc>
          <w:tcPr>
            <w:tcW w:w="18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(1,042)</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37</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2,607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Gain (loss) on non-financial assets, net</w:t>
            </w:r>
          </w:p>
        </w:tc>
        <w:tc>
          <w:tcPr>
            <w:tcW w:w="140" w:type="dxa"/>
            <w:vAlign w:val="bottom"/>
          </w:tcPr>
          <w:p>
            <w:pPr>
              <w:spacing w:after="0"/>
              <w:rPr>
                <w:sz w:val="16"/>
                <w:szCs w:val="16"/>
                <w:color w:val="auto"/>
              </w:rPr>
            </w:pPr>
          </w:p>
        </w:tc>
        <w:tc>
          <w:tcPr>
            <w:tcW w:w="136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6"/>
                <w:szCs w:val="16"/>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6"/>
                <w:szCs w:val="16"/>
                <w:color w:val="auto"/>
              </w:rPr>
              <w:t>(140)</w:t>
            </w:r>
          </w:p>
        </w:tc>
        <w:tc>
          <w:tcPr>
            <w:tcW w:w="180" w:type="dxa"/>
            <w:vAlign w:val="bottom"/>
          </w:tcPr>
          <w:p>
            <w:pPr>
              <w:spacing w:after="0"/>
              <w:rPr>
                <w:sz w:val="16"/>
                <w:szCs w:val="16"/>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6"/>
                <w:szCs w:val="16"/>
                <w:color w:val="auto"/>
              </w:rPr>
              <w:t>(140)</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Operating expenses</w:t>
            </w:r>
          </w:p>
        </w:tc>
        <w:tc>
          <w:tcPr>
            <w:tcW w:w="1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(15,028)</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(13,605)</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(7,880)</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(7,148)</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(6,263)</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b w:val="1"/>
                <w:bCs w:val="1"/>
                <w:color w:val="auto"/>
              </w:rPr>
              <w:t>Profit for the segment</w:t>
            </w: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30,914</w:t>
            </w:r>
          </w:p>
        </w:tc>
        <w:tc>
          <w:tcPr>
            <w:tcW w:w="240" w:type="dxa"/>
            <w:vAlign w:val="bottom"/>
          </w:tcPr>
          <w:p>
            <w:pPr>
              <w:spacing w:after="0"/>
              <w:rPr>
                <w:sz w:val="16"/>
                <w:szCs w:val="16"/>
                <w:color w:val="auto"/>
              </w:rPr>
            </w:pPr>
          </w:p>
        </w:tc>
        <w:tc>
          <w:tcPr>
            <w:tcW w:w="160" w:type="dxa"/>
            <w:vAlign w:val="bottom"/>
            <w:tcBorders>
              <w:top w:val="single" w:sz="8" w:color="auto"/>
            </w:tcBorders>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37,195</w:t>
            </w:r>
          </w:p>
        </w:tc>
        <w:tc>
          <w:tcPr>
            <w:tcW w:w="220" w:type="dxa"/>
            <w:vAlign w:val="bottom"/>
          </w:tcPr>
          <w:p>
            <w:pPr>
              <w:spacing w:after="0"/>
              <w:rPr>
                <w:sz w:val="16"/>
                <w:szCs w:val="16"/>
                <w:color w:val="auto"/>
              </w:rPr>
            </w:pPr>
          </w:p>
        </w:tc>
        <w:tc>
          <w:tcPr>
            <w:tcW w:w="180" w:type="dxa"/>
            <w:vAlign w:val="bottom"/>
            <w:tcBorders>
              <w:top w:val="single" w:sz="8" w:color="auto"/>
            </w:tcBorders>
          </w:tcPr>
          <w:p>
            <w:pPr>
              <w:jc w:val="right"/>
              <w:ind w:right="2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16,037</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14,878</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Borders>
              <w:top w:val="single" w:sz="8" w:color="auto"/>
            </w:tcBorders>
          </w:tcPr>
          <w:p>
            <w:pPr>
              <w:jc w:val="right"/>
              <w:ind w:right="2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16,333</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4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b w:val="1"/>
                <w:bCs w:val="1"/>
                <w:color w:val="auto"/>
              </w:rPr>
              <w:t>Segment assets</w:t>
            </w:r>
          </w:p>
        </w:tc>
        <w:tc>
          <w:tcPr>
            <w:tcW w:w="14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5,349,392</w:t>
            </w:r>
          </w:p>
        </w:tc>
        <w:tc>
          <w:tcPr>
            <w:tcW w:w="2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4,489,329</w:t>
            </w: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5,349,392</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5,137,623</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4,489,329</w:t>
            </w:r>
          </w:p>
        </w:tc>
        <w:tc>
          <w:tcPr>
            <w:tcW w:w="0" w:type="dxa"/>
            <w:vAlign w:val="bottom"/>
          </w:tcPr>
          <w:p>
            <w:pPr>
              <w:spacing w:after="0"/>
              <w:rPr>
                <w:sz w:val="1"/>
                <w:szCs w:val="1"/>
                <w:color w:val="auto"/>
              </w:rPr>
            </w:pPr>
          </w:p>
        </w:tc>
      </w:tr>
      <w:tr>
        <w:trPr>
          <w:trHeight w:val="207"/>
        </w:trPr>
        <w:tc>
          <w:tcPr>
            <w:tcW w:w="20" w:type="dxa"/>
            <w:vAlign w:val="bottom"/>
            <w:vMerge w:val="restart"/>
          </w:tcPr>
          <w:p>
            <w:pPr>
              <w:spacing w:after="0"/>
              <w:rPr>
                <w:sz w:val="18"/>
                <w:szCs w:val="18"/>
                <w:color w:val="auto"/>
              </w:rPr>
            </w:pPr>
          </w:p>
        </w:tc>
        <w:tc>
          <w:tcPr>
            <w:tcW w:w="4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TREASURY BUSINESS SEGMENT:</w:t>
            </w:r>
          </w:p>
        </w:tc>
        <w:tc>
          <w:tcPr>
            <w:tcW w:w="1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Net interest income</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60" w:type="dxa"/>
            <w:vAlign w:val="bottom"/>
            <w:gridSpan w:val="2"/>
          </w:tcPr>
          <w:p>
            <w:pPr>
              <w:jc w:val="right"/>
              <w:ind w:right="240"/>
              <w:spacing w:after="0"/>
              <w:rPr>
                <w:sz w:val="20"/>
                <w:szCs w:val="20"/>
                <w:color w:val="auto"/>
              </w:rPr>
            </w:pPr>
            <w:r>
              <w:rPr>
                <w:rFonts w:ascii="Arial" w:cs="Arial" w:eastAsia="Arial" w:hAnsi="Arial"/>
                <w:sz w:val="16"/>
                <w:szCs w:val="16"/>
                <w:color w:val="auto"/>
              </w:rPr>
              <w:t>681</w:t>
            </w:r>
          </w:p>
        </w:tc>
        <w:tc>
          <w:tcPr>
            <w:tcW w:w="160" w:type="dxa"/>
            <w:vAlign w:val="bottom"/>
          </w:tcPr>
          <w:p>
            <w:pPr>
              <w:jc w:val="right"/>
              <w:ind w:right="4"/>
              <w:spacing w:after="0"/>
              <w:rPr>
                <w:sz w:val="20"/>
                <w:szCs w:val="20"/>
                <w:color w:val="auto"/>
              </w:rPr>
            </w:pPr>
            <w:r>
              <w:rPr>
                <w:rFonts w:ascii="Arial" w:cs="Arial" w:eastAsia="Arial" w:hAnsi="Arial"/>
                <w:sz w:val="15"/>
                <w:szCs w:val="15"/>
                <w:color w:val="auto"/>
                <w:w w:val="71"/>
              </w:rPr>
              <w:t>$</w:t>
            </w:r>
          </w:p>
        </w:tc>
        <w:tc>
          <w:tcPr>
            <w:tcW w:w="1280" w:type="dxa"/>
            <w:vAlign w:val="bottom"/>
            <w:gridSpan w:val="2"/>
          </w:tcPr>
          <w:p>
            <w:pPr>
              <w:jc w:val="right"/>
              <w:ind w:right="220"/>
              <w:spacing w:after="0"/>
              <w:rPr>
                <w:sz w:val="20"/>
                <w:szCs w:val="20"/>
                <w:color w:val="auto"/>
              </w:rPr>
            </w:pPr>
            <w:r>
              <w:rPr>
                <w:rFonts w:ascii="Arial" w:cs="Arial" w:eastAsia="Arial" w:hAnsi="Arial"/>
                <w:sz w:val="16"/>
                <w:szCs w:val="16"/>
                <w:color w:val="auto"/>
              </w:rPr>
              <w:t>1,838</w:t>
            </w:r>
          </w:p>
        </w:tc>
        <w:tc>
          <w:tcPr>
            <w:tcW w:w="180" w:type="dxa"/>
            <w:vAlign w:val="bottom"/>
          </w:tcPr>
          <w:p>
            <w:pPr>
              <w:jc w:val="right"/>
              <w:ind w:right="24"/>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518</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163</w:t>
            </w:r>
          </w:p>
        </w:tc>
        <w:tc>
          <w:tcPr>
            <w:tcW w:w="260" w:type="dxa"/>
            <w:vAlign w:val="bottom"/>
            <w:gridSpan w:val="2"/>
          </w:tcPr>
          <w:p>
            <w:pPr>
              <w:jc w:val="right"/>
              <w:ind w:right="24"/>
              <w:spacing w:after="0"/>
              <w:rPr>
                <w:sz w:val="20"/>
                <w:szCs w:val="20"/>
                <w:color w:val="auto"/>
              </w:rPr>
            </w:pPr>
            <w:r>
              <w:rPr>
                <w:rFonts w:ascii="Arial" w:cs="Arial" w:eastAsia="Arial" w:hAnsi="Arial"/>
                <w:sz w:val="16"/>
                <w:szCs w:val="16"/>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6"/>
                <w:szCs w:val="16"/>
                <w:color w:val="auto"/>
              </w:rPr>
              <w:t>804</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Other income (expense)</w:t>
            </w:r>
          </w:p>
        </w:tc>
        <w:tc>
          <w:tcPr>
            <w:tcW w:w="1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(77)</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(1,422)</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113</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(191)</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(1,028)</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Total revenues</w:t>
            </w:r>
          </w:p>
        </w:tc>
        <w:tc>
          <w:tcPr>
            <w:tcW w:w="14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604</w:t>
            </w:r>
          </w:p>
        </w:tc>
        <w:tc>
          <w:tcPr>
            <w:tcW w:w="24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416</w:t>
            </w:r>
          </w:p>
        </w:tc>
        <w:tc>
          <w:tcPr>
            <w:tcW w:w="220" w:type="dxa"/>
            <w:vAlign w:val="bottom"/>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631</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(28)</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(224)</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(Provision) reversal for credit losses</w:t>
            </w:r>
          </w:p>
        </w:tc>
        <w:tc>
          <w:tcPr>
            <w:tcW w:w="140" w:type="dxa"/>
            <w:vAlign w:val="bottom"/>
            <w:shd w:val="clear" w:color="auto" w:fill="CCEEFF"/>
          </w:tcPr>
          <w:p>
            <w:pPr>
              <w:spacing w:after="0"/>
              <w:rPr>
                <w:sz w:val="16"/>
                <w:szCs w:val="16"/>
                <w:color w:val="auto"/>
              </w:rPr>
            </w:pP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(379)</w:t>
            </w:r>
          </w:p>
        </w:tc>
        <w:tc>
          <w:tcPr>
            <w:tcW w:w="16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8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(342)</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(37)</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Operating expenses</w:t>
            </w:r>
          </w:p>
        </w:tc>
        <w:tc>
          <w:tcPr>
            <w:tcW w:w="140" w:type="dxa"/>
            <w:vAlign w:val="bottom"/>
          </w:tcPr>
          <w:p>
            <w:pPr>
              <w:spacing w:after="0"/>
              <w:rPr>
                <w:sz w:val="17"/>
                <w:szCs w:val="17"/>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6"/>
                <w:szCs w:val="16"/>
                <w:color w:val="auto"/>
              </w:rPr>
              <w:t>(4,239)</w:t>
            </w:r>
          </w:p>
        </w:tc>
        <w:tc>
          <w:tcPr>
            <w:tcW w:w="160" w:type="dxa"/>
            <w:vAlign w:val="bottom"/>
          </w:tcPr>
          <w:p>
            <w:pPr>
              <w:spacing w:after="0"/>
              <w:rPr>
                <w:sz w:val="17"/>
                <w:szCs w:val="17"/>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6"/>
                <w:szCs w:val="16"/>
                <w:color w:val="auto"/>
              </w:rPr>
              <w:t>(5,203)</w:t>
            </w:r>
          </w:p>
        </w:tc>
        <w:tc>
          <w:tcPr>
            <w:tcW w:w="180" w:type="dxa"/>
            <w:vAlign w:val="bottom"/>
          </w:tcPr>
          <w:p>
            <w:pPr>
              <w:spacing w:after="0"/>
              <w:rPr>
                <w:sz w:val="17"/>
                <w:szCs w:val="17"/>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6"/>
                <w:szCs w:val="16"/>
                <w:color w:val="auto"/>
              </w:rPr>
              <w:t>(2,242)</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20" w:type="dxa"/>
            <w:vAlign w:val="bottom"/>
            <w:gridSpan w:val="2"/>
          </w:tcPr>
          <w:p>
            <w:pPr>
              <w:jc w:val="right"/>
              <w:ind w:right="80"/>
              <w:spacing w:after="0"/>
              <w:rPr>
                <w:sz w:val="20"/>
                <w:szCs w:val="20"/>
                <w:color w:val="auto"/>
              </w:rPr>
            </w:pPr>
            <w:r>
              <w:rPr>
                <w:rFonts w:ascii="Arial" w:cs="Arial" w:eastAsia="Arial" w:hAnsi="Arial"/>
                <w:sz w:val="16"/>
                <w:szCs w:val="16"/>
                <w:color w:val="auto"/>
              </w:rPr>
              <w:t>(1,997)</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6"/>
                <w:szCs w:val="16"/>
                <w:color w:val="auto"/>
              </w:rPr>
              <w:t>(2,003)</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Loss for the segment</w:t>
            </w: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(4,014)</w:t>
            </w:r>
          </w:p>
        </w:tc>
        <w:tc>
          <w:tcPr>
            <w:tcW w:w="24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(4,787)</w:t>
            </w:r>
          </w:p>
        </w:tc>
        <w:tc>
          <w:tcPr>
            <w:tcW w:w="2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jc w:val="right"/>
              <w:ind w:right="2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(1,953)</w:t>
            </w: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(2,062)</w:t>
            </w: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(2,227)</w:t>
            </w:r>
          </w:p>
        </w:tc>
        <w:tc>
          <w:tcPr>
            <w:tcW w:w="1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4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Segment assets</w:t>
            </w: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1,367,318</w:t>
            </w: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2,130,220</w:t>
            </w: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1,367,318</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1,230,515</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2,130,220</w:t>
            </w:r>
          </w:p>
        </w:tc>
        <w:tc>
          <w:tcPr>
            <w:tcW w:w="0" w:type="dxa"/>
            <w:vAlign w:val="bottom"/>
          </w:tcPr>
          <w:p>
            <w:pPr>
              <w:spacing w:after="0"/>
              <w:rPr>
                <w:sz w:val="1"/>
                <w:szCs w:val="1"/>
                <w:color w:val="auto"/>
              </w:rPr>
            </w:pPr>
          </w:p>
        </w:tc>
      </w:tr>
      <w:tr>
        <w:trPr>
          <w:trHeight w:val="207"/>
        </w:trPr>
        <w:tc>
          <w:tcPr>
            <w:tcW w:w="20" w:type="dxa"/>
            <w:vAlign w:val="bottom"/>
            <w:vMerge w:val="restart"/>
          </w:tcPr>
          <w:p>
            <w:pPr>
              <w:spacing w:after="0"/>
              <w:rPr>
                <w:sz w:val="18"/>
                <w:szCs w:val="18"/>
                <w:color w:val="auto"/>
              </w:rPr>
            </w:pPr>
          </w:p>
        </w:tc>
        <w:tc>
          <w:tcPr>
            <w:tcW w:w="4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TOTAL:</w:t>
            </w: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Net interest income</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39,893</w:t>
            </w:r>
          </w:p>
        </w:tc>
        <w:tc>
          <w:tcPr>
            <w:tcW w:w="16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w w:val="71"/>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47,523</w:t>
            </w:r>
          </w:p>
        </w:tc>
        <w:tc>
          <w:tcPr>
            <w:tcW w:w="180" w:type="dxa"/>
            <w:vAlign w:val="bottom"/>
            <w:shd w:val="clear" w:color="auto" w:fill="CCEEFF"/>
          </w:tcPr>
          <w:p>
            <w:pPr>
              <w:jc w:val="right"/>
              <w:ind w:right="24"/>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20,998</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18,895</w:t>
            </w:r>
          </w:p>
        </w:tc>
        <w:tc>
          <w:tcPr>
            <w:tcW w:w="260" w:type="dxa"/>
            <w:vAlign w:val="bottom"/>
            <w:gridSpan w:val="2"/>
            <w:shd w:val="clear" w:color="auto" w:fill="CCEEFF"/>
          </w:tcPr>
          <w:p>
            <w:pPr>
              <w:jc w:val="right"/>
              <w:ind w:right="24"/>
              <w:spacing w:after="0"/>
              <w:rPr>
                <w:sz w:val="20"/>
                <w:szCs w:val="20"/>
                <w:color w:val="auto"/>
              </w:rPr>
            </w:pPr>
            <w:r>
              <w:rPr>
                <w:rFonts w:ascii="Arial" w:cs="Arial" w:eastAsia="Arial" w:hAnsi="Arial"/>
                <w:sz w:val="16"/>
                <w:szCs w:val="16"/>
                <w:color w:val="auto"/>
              </w:rPr>
              <w:t>$</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21,723</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Other income</w:t>
            </w:r>
          </w:p>
        </w:tc>
        <w:tc>
          <w:tcPr>
            <w:tcW w:w="140" w:type="dxa"/>
            <w:vAlign w:val="bottom"/>
          </w:tcPr>
          <w:p>
            <w:pPr>
              <w:spacing w:after="0"/>
              <w:rPr>
                <w:sz w:val="17"/>
                <w:szCs w:val="17"/>
                <w:color w:val="auto"/>
              </w:rPr>
            </w:pPr>
          </w:p>
        </w:tc>
        <w:tc>
          <w:tcPr>
            <w:tcW w:w="1360" w:type="dxa"/>
            <w:vAlign w:val="bottom"/>
            <w:gridSpan w:val="2"/>
          </w:tcPr>
          <w:p>
            <w:pPr>
              <w:jc w:val="right"/>
              <w:ind w:right="240"/>
              <w:spacing w:after="0"/>
              <w:rPr>
                <w:sz w:val="20"/>
                <w:szCs w:val="20"/>
                <w:color w:val="auto"/>
              </w:rPr>
            </w:pPr>
            <w:r>
              <w:rPr>
                <w:rFonts w:ascii="Arial" w:cs="Arial" w:eastAsia="Arial" w:hAnsi="Arial"/>
                <w:sz w:val="16"/>
                <w:szCs w:val="16"/>
                <w:color w:val="auto"/>
              </w:rPr>
              <w:t>7,658</w:t>
            </w:r>
          </w:p>
        </w:tc>
        <w:tc>
          <w:tcPr>
            <w:tcW w:w="160" w:type="dxa"/>
            <w:vAlign w:val="bottom"/>
          </w:tcPr>
          <w:p>
            <w:pPr>
              <w:spacing w:after="0"/>
              <w:rPr>
                <w:sz w:val="17"/>
                <w:szCs w:val="17"/>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6"/>
                <w:szCs w:val="16"/>
                <w:color w:val="auto"/>
              </w:rPr>
              <w:t>1,137</w:t>
            </w:r>
          </w:p>
        </w:tc>
        <w:tc>
          <w:tcPr>
            <w:tcW w:w="18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4,592</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3,066</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6"/>
                <w:szCs w:val="16"/>
                <w:color w:val="auto"/>
              </w:rPr>
              <w:t>(1,818)</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 revenues</w:t>
            </w:r>
          </w:p>
        </w:tc>
        <w:tc>
          <w:tcPr>
            <w:tcW w:w="140" w:type="dxa"/>
            <w:vAlign w:val="bottom"/>
            <w:tcBorders>
              <w:top w:val="single" w:sz="8" w:color="auto"/>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47,551</w:t>
            </w:r>
          </w:p>
        </w:tc>
        <w:tc>
          <w:tcPr>
            <w:tcW w:w="24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48,660</w:t>
            </w:r>
          </w:p>
        </w:tc>
        <w:tc>
          <w:tcPr>
            <w:tcW w:w="2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25,590</w:t>
            </w: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21,961</w:t>
            </w: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19,905</w:t>
            </w:r>
          </w:p>
        </w:tc>
        <w:tc>
          <w:tcPr>
            <w:tcW w:w="1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(Provision) reversal for credit losses</w:t>
            </w:r>
          </w:p>
        </w:tc>
        <w:tc>
          <w:tcPr>
            <w:tcW w:w="140" w:type="dxa"/>
            <w:vAlign w:val="bottom"/>
          </w:tcPr>
          <w:p>
            <w:pPr>
              <w:spacing w:after="0"/>
              <w:rPr>
                <w:sz w:val="16"/>
                <w:szCs w:val="16"/>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6"/>
                <w:szCs w:val="16"/>
                <w:color w:val="auto"/>
              </w:rPr>
              <w:t>(1,384)</w:t>
            </w:r>
          </w:p>
        </w:tc>
        <w:tc>
          <w:tcPr>
            <w:tcW w:w="160" w:type="dxa"/>
            <w:vAlign w:val="bottom"/>
          </w:tcPr>
          <w:p>
            <w:pPr>
              <w:spacing w:after="0"/>
              <w:rPr>
                <w:sz w:val="16"/>
                <w:szCs w:val="16"/>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6"/>
                <w:szCs w:val="16"/>
                <w:color w:val="auto"/>
              </w:rPr>
              <w:t>2,696</w:t>
            </w:r>
          </w:p>
        </w:tc>
        <w:tc>
          <w:tcPr>
            <w:tcW w:w="180" w:type="dxa"/>
            <w:vAlign w:val="bottom"/>
          </w:tcPr>
          <w:p>
            <w:pPr>
              <w:spacing w:after="0"/>
              <w:rPr>
                <w:sz w:val="16"/>
                <w:szCs w:val="16"/>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6"/>
                <w:szCs w:val="16"/>
                <w:color w:val="auto"/>
              </w:rPr>
              <w:t>(1,384)</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6"/>
                <w:szCs w:val="16"/>
                <w:color w:val="auto"/>
              </w:rPr>
              <w:t>2,607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Gain (loss) on non-financial assets, net</w:t>
            </w:r>
          </w:p>
        </w:tc>
        <w:tc>
          <w:tcPr>
            <w:tcW w:w="140" w:type="dxa"/>
            <w:vAlign w:val="bottom"/>
            <w:shd w:val="clear" w:color="auto" w:fill="CCEEFF"/>
          </w:tcPr>
          <w:p>
            <w:pPr>
              <w:spacing w:after="0"/>
              <w:rPr>
                <w:sz w:val="16"/>
                <w:szCs w:val="16"/>
                <w:color w:val="auto"/>
              </w:rPr>
            </w:pP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(140)</w:t>
            </w:r>
          </w:p>
        </w:tc>
        <w:tc>
          <w:tcPr>
            <w:tcW w:w="18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(140)</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040" w:type="dxa"/>
            <w:vAlign w:val="bottom"/>
          </w:tcPr>
          <w:p>
            <w:pPr>
              <w:ind w:left="120"/>
              <w:spacing w:after="0"/>
              <w:rPr>
                <w:sz w:val="20"/>
                <w:szCs w:val="20"/>
                <w:color w:val="auto"/>
              </w:rPr>
            </w:pPr>
            <w:r>
              <w:rPr>
                <w:rFonts w:ascii="Arial" w:cs="Arial" w:eastAsia="Arial" w:hAnsi="Arial"/>
                <w:sz w:val="16"/>
                <w:szCs w:val="16"/>
                <w:color w:val="auto"/>
              </w:rPr>
              <w:t>Operating expenses</w:t>
            </w:r>
          </w:p>
        </w:tc>
        <w:tc>
          <w:tcPr>
            <w:tcW w:w="140" w:type="dxa"/>
            <w:vAlign w:val="bottom"/>
          </w:tcPr>
          <w:p>
            <w:pPr>
              <w:spacing w:after="0"/>
              <w:rPr>
                <w:sz w:val="17"/>
                <w:szCs w:val="17"/>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6"/>
                <w:szCs w:val="16"/>
                <w:color w:val="auto"/>
              </w:rPr>
              <w:t>(19,267)</w:t>
            </w:r>
          </w:p>
        </w:tc>
        <w:tc>
          <w:tcPr>
            <w:tcW w:w="160" w:type="dxa"/>
            <w:vAlign w:val="bottom"/>
          </w:tcPr>
          <w:p>
            <w:pPr>
              <w:spacing w:after="0"/>
              <w:rPr>
                <w:sz w:val="17"/>
                <w:szCs w:val="17"/>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6"/>
                <w:szCs w:val="16"/>
                <w:color w:val="auto"/>
              </w:rPr>
              <w:t>(18,808)</w:t>
            </w:r>
          </w:p>
        </w:tc>
        <w:tc>
          <w:tcPr>
            <w:tcW w:w="180" w:type="dxa"/>
            <w:vAlign w:val="bottom"/>
          </w:tcPr>
          <w:p>
            <w:pPr>
              <w:spacing w:after="0"/>
              <w:rPr>
                <w:sz w:val="17"/>
                <w:szCs w:val="17"/>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6"/>
                <w:szCs w:val="16"/>
                <w:color w:val="auto"/>
              </w:rPr>
              <w:t>(10,122)</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20" w:type="dxa"/>
            <w:vAlign w:val="bottom"/>
            <w:gridSpan w:val="2"/>
          </w:tcPr>
          <w:p>
            <w:pPr>
              <w:jc w:val="right"/>
              <w:ind w:right="80"/>
              <w:spacing w:after="0"/>
              <w:rPr>
                <w:sz w:val="20"/>
                <w:szCs w:val="20"/>
                <w:color w:val="auto"/>
              </w:rPr>
            </w:pPr>
            <w:r>
              <w:rPr>
                <w:rFonts w:ascii="Arial" w:cs="Arial" w:eastAsia="Arial" w:hAnsi="Arial"/>
                <w:sz w:val="16"/>
                <w:szCs w:val="16"/>
                <w:color w:val="auto"/>
              </w:rPr>
              <w:t>(9,145)</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6"/>
                <w:szCs w:val="16"/>
                <w:color w:val="auto"/>
              </w:rPr>
              <w:t>(8,266)</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4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Profit for the period</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26,900</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160" w:type="dxa"/>
            <w:vAlign w:val="bottom"/>
            <w:tcBorders>
              <w:top w:val="single" w:sz="8" w:color="auto"/>
              <w:bottom w:val="single" w:sz="8" w:color="auto"/>
            </w:tcBorders>
            <w:shd w:val="clear" w:color="auto" w:fill="CCEEFF"/>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32,408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ind w:right="2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14,084</w:t>
            </w: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12,816</w:t>
            </w: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ind w:right="24"/>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14,106</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2"/>
        </w:trPr>
        <w:tc>
          <w:tcPr>
            <w:tcW w:w="20" w:type="dxa"/>
            <w:vAlign w:val="bottom"/>
            <w:vMerge w:val="restart"/>
          </w:tcPr>
          <w:p>
            <w:pPr>
              <w:spacing w:after="0"/>
              <w:rPr>
                <w:sz w:val="14"/>
                <w:szCs w:val="14"/>
                <w:color w:val="auto"/>
              </w:rPr>
            </w:pPr>
          </w:p>
        </w:tc>
        <w:tc>
          <w:tcPr>
            <w:tcW w:w="40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segment assets</w:t>
            </w: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6,716,710</w:t>
            </w: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6,619,549</w:t>
            </w: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6,716,710</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6,368,138</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6,619,549</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Unallocated assets</w:t>
            </w:r>
          </w:p>
        </w:tc>
        <w:tc>
          <w:tcPr>
            <w:tcW w:w="140" w:type="dxa"/>
            <w:vAlign w:val="bottom"/>
          </w:tcPr>
          <w:p>
            <w:pPr>
              <w:spacing w:after="0"/>
              <w:rPr>
                <w:sz w:val="16"/>
                <w:szCs w:val="16"/>
                <w:color w:val="auto"/>
              </w:rPr>
            </w:pPr>
          </w:p>
        </w:tc>
        <w:tc>
          <w:tcPr>
            <w:tcW w:w="1360" w:type="dxa"/>
            <w:vAlign w:val="bottom"/>
            <w:gridSpan w:val="2"/>
          </w:tcPr>
          <w:p>
            <w:pPr>
              <w:jc w:val="right"/>
              <w:ind w:right="240"/>
              <w:spacing w:after="0"/>
              <w:rPr>
                <w:sz w:val="20"/>
                <w:szCs w:val="20"/>
                <w:color w:val="auto"/>
              </w:rPr>
            </w:pPr>
            <w:r>
              <w:rPr>
                <w:rFonts w:ascii="Arial" w:cs="Arial" w:eastAsia="Arial" w:hAnsi="Arial"/>
                <w:sz w:val="16"/>
                <w:szCs w:val="16"/>
                <w:color w:val="auto"/>
              </w:rPr>
              <w:t>6,522</w:t>
            </w:r>
          </w:p>
        </w:tc>
        <w:tc>
          <w:tcPr>
            <w:tcW w:w="160" w:type="dxa"/>
            <w:vAlign w:val="bottom"/>
          </w:tcPr>
          <w:p>
            <w:pPr>
              <w:spacing w:after="0"/>
              <w:rPr>
                <w:sz w:val="16"/>
                <w:szCs w:val="16"/>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6"/>
                <w:szCs w:val="16"/>
                <w:color w:val="auto"/>
              </w:rPr>
              <w:t>7,676</w:t>
            </w:r>
          </w:p>
        </w:tc>
        <w:tc>
          <w:tcPr>
            <w:tcW w:w="18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6,522</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6"/>
                <w:szCs w:val="16"/>
                <w:color w:val="auto"/>
              </w:rPr>
              <w:t>6,708</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6"/>
                <w:szCs w:val="16"/>
                <w:color w:val="auto"/>
              </w:rPr>
              <w:t>7,676</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assets</w:t>
            </w:r>
          </w:p>
        </w:tc>
        <w:tc>
          <w:tcPr>
            <w:tcW w:w="14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6,723,232</w:t>
            </w:r>
          </w:p>
        </w:tc>
        <w:tc>
          <w:tcPr>
            <w:tcW w:w="2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6,627,225</w:t>
            </w: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6,723,232</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6,374,846</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6,627,225</w:t>
            </w:r>
          </w:p>
        </w:tc>
        <w:tc>
          <w:tcPr>
            <w:tcW w:w="0" w:type="dxa"/>
            <w:vAlign w:val="bottom"/>
          </w:tcPr>
          <w:p>
            <w:pPr>
              <w:spacing w:after="0"/>
              <w:rPr>
                <w:sz w:val="1"/>
                <w:szCs w:val="1"/>
                <w:color w:val="auto"/>
              </w:rPr>
            </w:pPr>
          </w:p>
        </w:tc>
      </w:tr>
      <w:tr>
        <w:trPr>
          <w:trHeight w:val="585"/>
        </w:trPr>
        <w:tc>
          <w:tcPr>
            <w:tcW w:w="20" w:type="dxa"/>
            <w:vAlign w:val="bottom"/>
          </w:tcPr>
          <w:p>
            <w:pPr>
              <w:spacing w:after="0"/>
              <w:rPr>
                <w:sz w:val="24"/>
                <w:szCs w:val="24"/>
                <w:color w:val="auto"/>
              </w:rPr>
            </w:pPr>
          </w:p>
        </w:tc>
        <w:tc>
          <w:tcPr>
            <w:tcW w:w="40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19</w:t>
            </w: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662305</wp:posOffset>
            </wp:positionV>
            <wp:extent cx="7202170" cy="10928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24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gridSpan w:val="4"/>
          </w:tcPr>
          <w:p>
            <w:pPr>
              <w:jc w:val="right"/>
              <w:spacing w:after="0"/>
              <w:rPr>
                <w:sz w:val="20"/>
                <w:szCs w:val="20"/>
                <w:color w:val="auto"/>
              </w:rPr>
            </w:pPr>
            <w:r>
              <w:rPr>
                <w:rFonts w:ascii="Arial" w:cs="Arial" w:eastAsia="Arial" w:hAnsi="Arial"/>
                <w:sz w:val="16"/>
                <w:szCs w:val="16"/>
                <w:color w:val="auto"/>
              </w:rPr>
              <w:t>EXHIBIT VIII</w:t>
            </w:r>
          </w:p>
        </w:tc>
        <w:tc>
          <w:tcPr>
            <w:tcW w:w="0" w:type="dxa"/>
            <w:vAlign w:val="bottom"/>
          </w:tcPr>
          <w:p>
            <w:pPr>
              <w:spacing w:after="0"/>
              <w:rPr>
                <w:sz w:val="1"/>
                <w:szCs w:val="1"/>
                <w:color w:val="auto"/>
              </w:rPr>
            </w:pPr>
          </w:p>
        </w:tc>
      </w:tr>
      <w:tr>
        <w:trPr>
          <w:trHeight w:val="379"/>
        </w:trPr>
        <w:tc>
          <w:tcPr>
            <w:tcW w:w="2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120" w:type="dxa"/>
            <w:vAlign w:val="bottom"/>
            <w:gridSpan w:val="4"/>
          </w:tcPr>
          <w:p>
            <w:pPr>
              <w:jc w:val="center"/>
              <w:ind w:right="440"/>
              <w:spacing w:after="0"/>
              <w:rPr>
                <w:sz w:val="20"/>
                <w:szCs w:val="20"/>
                <w:color w:val="auto"/>
              </w:rPr>
            </w:pPr>
            <w:r>
              <w:rPr>
                <w:rFonts w:ascii="Arial" w:cs="Arial" w:eastAsia="Arial" w:hAnsi="Arial"/>
                <w:sz w:val="16"/>
                <w:szCs w:val="16"/>
                <w:color w:val="auto"/>
                <w:w w:val="97"/>
              </w:rPr>
              <w:t>CREDIT PORTFOLIO</w:t>
            </w: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500" w:type="dxa"/>
            <w:vAlign w:val="bottom"/>
            <w:gridSpan w:val="6"/>
          </w:tcPr>
          <w:p>
            <w:pPr>
              <w:jc w:val="center"/>
              <w:ind w:right="40"/>
              <w:spacing w:after="0"/>
              <w:rPr>
                <w:sz w:val="20"/>
                <w:szCs w:val="20"/>
                <w:color w:val="auto"/>
              </w:rPr>
            </w:pPr>
            <w:r>
              <w:rPr>
                <w:rFonts w:ascii="Arial" w:cs="Arial" w:eastAsia="Arial" w:hAnsi="Arial"/>
                <w:sz w:val="16"/>
                <w:szCs w:val="16"/>
                <w:color w:val="auto"/>
                <w:w w:val="99"/>
              </w:rPr>
              <w:t>DISTRIBUTION BY COUNTRY</w:t>
            </w: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24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120" w:type="dxa"/>
            <w:vAlign w:val="bottom"/>
            <w:gridSpan w:val="4"/>
          </w:tcPr>
          <w:p>
            <w:pPr>
              <w:jc w:val="right"/>
              <w:ind w:right="780"/>
              <w:spacing w:after="0"/>
              <w:rPr>
                <w:sz w:val="20"/>
                <w:szCs w:val="20"/>
                <w:color w:val="auto"/>
              </w:rPr>
            </w:pPr>
            <w:r>
              <w:rPr>
                <w:rFonts w:ascii="Arial" w:cs="Arial" w:eastAsia="Arial" w:hAnsi="Arial"/>
                <w:sz w:val="16"/>
                <w:szCs w:val="16"/>
                <w:color w:val="auto"/>
              </w:rPr>
              <w:t>(In US$ million)</w:t>
            </w: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03"/>
        </w:trPr>
        <w:tc>
          <w:tcPr>
            <w:tcW w:w="2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gridSpan w:val="4"/>
          </w:tcPr>
          <w:p>
            <w:pPr>
              <w:jc w:val="right"/>
              <w:ind w:right="640"/>
              <w:spacing w:after="0"/>
              <w:rPr>
                <w:sz w:val="20"/>
                <w:szCs w:val="20"/>
                <w:color w:val="auto"/>
              </w:rPr>
            </w:pPr>
            <w:r>
              <w:rPr>
                <w:rFonts w:ascii="Arial" w:cs="Arial" w:eastAsia="Arial" w:hAnsi="Arial"/>
                <w:sz w:val="16"/>
                <w:szCs w:val="16"/>
                <w:color w:val="auto"/>
              </w:rPr>
              <w:t>AT THE END OF,</w:t>
            </w:r>
          </w:p>
        </w:tc>
        <w:tc>
          <w:tcPr>
            <w:tcW w:w="1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jc w:val="right"/>
              <w:spacing w:after="0"/>
              <w:rPr>
                <w:sz w:val="20"/>
                <w:szCs w:val="20"/>
                <w:color w:val="auto"/>
              </w:rPr>
            </w:pPr>
            <w:r>
              <w:rPr>
                <w:rFonts w:ascii="Arial" w:cs="Arial" w:eastAsia="Arial" w:hAnsi="Arial"/>
                <w:sz w:val="16"/>
                <w:szCs w:val="16"/>
                <w:color w:val="auto"/>
              </w:rPr>
              <w:t>(A)</w:t>
            </w: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jc w:val="center"/>
              <w:spacing w:after="0"/>
              <w:rPr>
                <w:sz w:val="20"/>
                <w:szCs w:val="20"/>
                <w:color w:val="auto"/>
              </w:rPr>
            </w:pPr>
            <w:r>
              <w:rPr>
                <w:rFonts w:ascii="Arial" w:cs="Arial" w:eastAsia="Arial" w:hAnsi="Arial"/>
                <w:sz w:val="16"/>
                <w:szCs w:val="16"/>
                <w:color w:val="auto"/>
              </w:rPr>
              <w:t>(B)</w:t>
            </w:r>
          </w:p>
        </w:tc>
        <w:tc>
          <w:tcPr>
            <w:tcW w:w="9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jc w:val="right"/>
              <w:spacing w:after="0"/>
              <w:rPr>
                <w:sz w:val="20"/>
                <w:szCs w:val="20"/>
                <w:color w:val="auto"/>
              </w:rPr>
            </w:pPr>
            <w:r>
              <w:rPr>
                <w:rFonts w:ascii="Arial" w:cs="Arial" w:eastAsia="Arial" w:hAnsi="Arial"/>
                <w:sz w:val="16"/>
                <w:szCs w:val="16"/>
                <w:color w:val="auto"/>
                <w:w w:val="89"/>
              </w:rPr>
              <w:t>(C)</w:t>
            </w: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24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100" w:type="dxa"/>
            <w:vAlign w:val="bottom"/>
            <w:gridSpan w:val="4"/>
          </w:tcPr>
          <w:p>
            <w:pPr>
              <w:jc w:val="right"/>
              <w:ind w:right="719"/>
              <w:spacing w:after="0"/>
              <w:rPr>
                <w:sz w:val="20"/>
                <w:szCs w:val="20"/>
                <w:color w:val="auto"/>
              </w:rPr>
            </w:pPr>
            <w:r>
              <w:rPr>
                <w:rFonts w:ascii="Arial" w:cs="Arial" w:eastAsia="Arial" w:hAnsi="Arial"/>
                <w:sz w:val="16"/>
                <w:szCs w:val="16"/>
                <w:color w:val="auto"/>
              </w:rPr>
              <w:t>Jun. 30, 2021</w:t>
            </w:r>
          </w:p>
        </w:tc>
        <w:tc>
          <w:tcPr>
            <w:tcW w:w="140" w:type="dxa"/>
            <w:vAlign w:val="bottom"/>
          </w:tcPr>
          <w:p>
            <w:pPr>
              <w:spacing w:after="0"/>
              <w:rPr>
                <w:sz w:val="17"/>
                <w:szCs w:val="17"/>
                <w:color w:val="auto"/>
              </w:rPr>
            </w:pPr>
          </w:p>
        </w:tc>
        <w:tc>
          <w:tcPr>
            <w:tcW w:w="2120" w:type="dxa"/>
            <w:vAlign w:val="bottom"/>
            <w:gridSpan w:val="4"/>
          </w:tcPr>
          <w:p>
            <w:pPr>
              <w:jc w:val="center"/>
              <w:ind w:right="400"/>
              <w:spacing w:after="0"/>
              <w:rPr>
                <w:sz w:val="20"/>
                <w:szCs w:val="20"/>
                <w:color w:val="auto"/>
              </w:rPr>
            </w:pPr>
            <w:r>
              <w:rPr>
                <w:rFonts w:ascii="Arial" w:cs="Arial" w:eastAsia="Arial" w:hAnsi="Arial"/>
                <w:sz w:val="16"/>
                <w:szCs w:val="16"/>
                <w:color w:val="auto"/>
                <w:w w:val="93"/>
              </w:rPr>
              <w:t>Mar. 31, 2021</w:t>
            </w:r>
          </w:p>
        </w:tc>
        <w:tc>
          <w:tcPr>
            <w:tcW w:w="120" w:type="dxa"/>
            <w:vAlign w:val="bottom"/>
          </w:tcPr>
          <w:p>
            <w:pPr>
              <w:spacing w:after="0"/>
              <w:rPr>
                <w:sz w:val="17"/>
                <w:szCs w:val="17"/>
                <w:color w:val="auto"/>
              </w:rPr>
            </w:pPr>
          </w:p>
        </w:tc>
        <w:tc>
          <w:tcPr>
            <w:tcW w:w="2120" w:type="dxa"/>
            <w:vAlign w:val="bottom"/>
            <w:gridSpan w:val="4"/>
          </w:tcPr>
          <w:p>
            <w:pPr>
              <w:jc w:val="right"/>
              <w:ind w:right="820"/>
              <w:spacing w:after="0"/>
              <w:rPr>
                <w:sz w:val="20"/>
                <w:szCs w:val="20"/>
                <w:color w:val="auto"/>
              </w:rPr>
            </w:pPr>
            <w:r>
              <w:rPr>
                <w:rFonts w:ascii="Arial" w:cs="Arial" w:eastAsia="Arial" w:hAnsi="Arial"/>
                <w:sz w:val="16"/>
                <w:szCs w:val="16"/>
                <w:color w:val="auto"/>
              </w:rPr>
              <w:t>Jun. 30, 2020</w:t>
            </w:r>
          </w:p>
        </w:tc>
        <w:tc>
          <w:tcPr>
            <w:tcW w:w="120" w:type="dxa"/>
            <w:vAlign w:val="bottom"/>
          </w:tcPr>
          <w:p>
            <w:pPr>
              <w:spacing w:after="0"/>
              <w:rPr>
                <w:sz w:val="17"/>
                <w:szCs w:val="17"/>
                <w:color w:val="auto"/>
              </w:rPr>
            </w:pPr>
          </w:p>
        </w:tc>
        <w:tc>
          <w:tcPr>
            <w:tcW w:w="2000" w:type="dxa"/>
            <w:vAlign w:val="bottom"/>
            <w:gridSpan w:val="6"/>
          </w:tcPr>
          <w:p>
            <w:pPr>
              <w:jc w:val="right"/>
              <w:ind w:right="500"/>
              <w:spacing w:after="0"/>
              <w:rPr>
                <w:sz w:val="20"/>
                <w:szCs w:val="20"/>
                <w:color w:val="auto"/>
              </w:rPr>
            </w:pPr>
            <w:r>
              <w:rPr>
                <w:rFonts w:ascii="Arial" w:cs="Arial" w:eastAsia="Arial" w:hAnsi="Arial"/>
                <w:sz w:val="16"/>
                <w:szCs w:val="16"/>
                <w:color w:val="auto"/>
              </w:rPr>
              <w:t>Change in Amount</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240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jc w:val="right"/>
              <w:ind w:right="39"/>
              <w:spacing w:after="0" w:line="176" w:lineRule="exact"/>
              <w:rPr>
                <w:sz w:val="20"/>
                <w:szCs w:val="20"/>
                <w:color w:val="auto"/>
              </w:rPr>
            </w:pPr>
            <w:r>
              <w:rPr>
                <w:rFonts w:ascii="Arial" w:cs="Arial" w:eastAsia="Arial" w:hAnsi="Arial"/>
                <w:sz w:val="16"/>
                <w:szCs w:val="16"/>
                <w:color w:val="auto"/>
              </w:rPr>
              <w:t>% of Total</w:t>
            </w:r>
          </w:p>
        </w:tc>
        <w:tc>
          <w:tcPr>
            <w:tcW w:w="2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jc w:val="right"/>
              <w:ind w:right="19"/>
              <w:spacing w:after="0" w:line="176" w:lineRule="exact"/>
              <w:rPr>
                <w:sz w:val="20"/>
                <w:szCs w:val="20"/>
                <w:color w:val="auto"/>
              </w:rPr>
            </w:pPr>
            <w:r>
              <w:rPr>
                <w:rFonts w:ascii="Arial" w:cs="Arial" w:eastAsia="Arial" w:hAnsi="Arial"/>
                <w:sz w:val="16"/>
                <w:szCs w:val="16"/>
                <w:color w:val="auto"/>
              </w:rPr>
              <w:t>% of Total</w:t>
            </w:r>
          </w:p>
        </w:tc>
        <w:tc>
          <w:tcPr>
            <w:tcW w:w="26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jc w:val="right"/>
              <w:ind w:right="19"/>
              <w:spacing w:after="0" w:line="176" w:lineRule="exact"/>
              <w:rPr>
                <w:sz w:val="20"/>
                <w:szCs w:val="20"/>
                <w:color w:val="auto"/>
              </w:rPr>
            </w:pPr>
            <w:r>
              <w:rPr>
                <w:rFonts w:ascii="Arial" w:cs="Arial" w:eastAsia="Arial" w:hAnsi="Arial"/>
                <w:sz w:val="16"/>
                <w:szCs w:val="16"/>
                <w:color w:val="auto"/>
              </w:rPr>
              <w:t>% of Total</w:t>
            </w:r>
          </w:p>
        </w:tc>
        <w:tc>
          <w:tcPr>
            <w:tcW w:w="26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2420" w:type="dxa"/>
            <w:vAlign w:val="bottom"/>
            <w:gridSpan w:val="2"/>
          </w:tcPr>
          <w:p>
            <w:pPr>
              <w:spacing w:after="0"/>
              <w:rPr>
                <w:sz w:val="20"/>
                <w:szCs w:val="20"/>
                <w:color w:val="auto"/>
              </w:rPr>
            </w:pPr>
            <w:r>
              <w:rPr>
                <w:rFonts w:ascii="Arial" w:cs="Arial" w:eastAsia="Arial" w:hAnsi="Arial"/>
                <w:sz w:val="16"/>
                <w:szCs w:val="16"/>
                <w:color w:val="auto"/>
              </w:rPr>
              <w:t>COUNTRY</w:t>
            </w:r>
          </w:p>
        </w:tc>
        <w:tc>
          <w:tcPr>
            <w:tcW w:w="120" w:type="dxa"/>
            <w:vAlign w:val="bottom"/>
          </w:tcPr>
          <w:p>
            <w:pPr>
              <w:spacing w:after="0"/>
              <w:rPr>
                <w:sz w:val="17"/>
                <w:szCs w:val="17"/>
                <w:color w:val="auto"/>
              </w:rPr>
            </w:pPr>
          </w:p>
        </w:tc>
        <w:tc>
          <w:tcPr>
            <w:tcW w:w="960" w:type="dxa"/>
            <w:vAlign w:val="bottom"/>
            <w:gridSpan w:val="2"/>
          </w:tcPr>
          <w:p>
            <w:pPr>
              <w:jc w:val="right"/>
              <w:ind w:right="299"/>
              <w:spacing w:after="0"/>
              <w:rPr>
                <w:sz w:val="20"/>
                <w:szCs w:val="20"/>
                <w:color w:val="auto"/>
              </w:rPr>
            </w:pPr>
            <w:r>
              <w:rPr>
                <w:rFonts w:ascii="Arial" w:cs="Arial" w:eastAsia="Arial" w:hAnsi="Arial"/>
                <w:sz w:val="16"/>
                <w:szCs w:val="16"/>
                <w:color w:val="auto"/>
              </w:rPr>
              <w:t>Amount</w:t>
            </w:r>
          </w:p>
        </w:tc>
        <w:tc>
          <w:tcPr>
            <w:tcW w:w="1140" w:type="dxa"/>
            <w:vAlign w:val="bottom"/>
            <w:gridSpan w:val="2"/>
          </w:tcPr>
          <w:p>
            <w:pPr>
              <w:jc w:val="right"/>
              <w:ind w:right="219"/>
              <w:spacing w:after="0"/>
              <w:rPr>
                <w:sz w:val="20"/>
                <w:szCs w:val="20"/>
                <w:color w:val="auto"/>
              </w:rPr>
            </w:pPr>
            <w:r>
              <w:rPr>
                <w:rFonts w:ascii="Arial" w:cs="Arial" w:eastAsia="Arial" w:hAnsi="Arial"/>
                <w:sz w:val="16"/>
                <w:szCs w:val="16"/>
                <w:color w:val="auto"/>
                <w:w w:val="94"/>
              </w:rPr>
              <w:t>Outstanding</w:t>
            </w:r>
          </w:p>
        </w:tc>
        <w:tc>
          <w:tcPr>
            <w:tcW w:w="140" w:type="dxa"/>
            <w:vAlign w:val="bottom"/>
          </w:tcPr>
          <w:p>
            <w:pPr>
              <w:spacing w:after="0"/>
              <w:rPr>
                <w:sz w:val="17"/>
                <w:szCs w:val="17"/>
                <w:color w:val="auto"/>
              </w:rPr>
            </w:pPr>
          </w:p>
        </w:tc>
        <w:tc>
          <w:tcPr>
            <w:tcW w:w="960" w:type="dxa"/>
            <w:vAlign w:val="bottom"/>
            <w:gridSpan w:val="2"/>
          </w:tcPr>
          <w:p>
            <w:pPr>
              <w:jc w:val="right"/>
              <w:ind w:right="299"/>
              <w:spacing w:after="0"/>
              <w:rPr>
                <w:sz w:val="20"/>
                <w:szCs w:val="20"/>
                <w:color w:val="auto"/>
              </w:rPr>
            </w:pPr>
            <w:r>
              <w:rPr>
                <w:rFonts w:ascii="Arial" w:cs="Arial" w:eastAsia="Arial" w:hAnsi="Arial"/>
                <w:sz w:val="16"/>
                <w:szCs w:val="16"/>
                <w:color w:val="auto"/>
              </w:rPr>
              <w:t>Amount</w:t>
            </w:r>
          </w:p>
        </w:tc>
        <w:tc>
          <w:tcPr>
            <w:tcW w:w="1160" w:type="dxa"/>
            <w:vAlign w:val="bottom"/>
            <w:gridSpan w:val="2"/>
          </w:tcPr>
          <w:p>
            <w:pPr>
              <w:jc w:val="right"/>
              <w:ind w:right="320"/>
              <w:spacing w:after="0"/>
              <w:rPr>
                <w:sz w:val="20"/>
                <w:szCs w:val="20"/>
                <w:color w:val="auto"/>
              </w:rPr>
            </w:pPr>
            <w:r>
              <w:rPr>
                <w:rFonts w:ascii="Arial" w:cs="Arial" w:eastAsia="Arial" w:hAnsi="Arial"/>
                <w:sz w:val="16"/>
                <w:szCs w:val="16"/>
                <w:color w:val="auto"/>
                <w:w w:val="94"/>
              </w:rPr>
              <w:t>Outstanding</w:t>
            </w:r>
          </w:p>
        </w:tc>
        <w:tc>
          <w:tcPr>
            <w:tcW w:w="120" w:type="dxa"/>
            <w:vAlign w:val="bottom"/>
          </w:tcPr>
          <w:p>
            <w:pPr>
              <w:spacing w:after="0"/>
              <w:rPr>
                <w:sz w:val="17"/>
                <w:szCs w:val="17"/>
                <w:color w:val="auto"/>
              </w:rPr>
            </w:pPr>
          </w:p>
        </w:tc>
        <w:tc>
          <w:tcPr>
            <w:tcW w:w="980" w:type="dxa"/>
            <w:vAlign w:val="bottom"/>
            <w:gridSpan w:val="2"/>
          </w:tcPr>
          <w:p>
            <w:pPr>
              <w:jc w:val="right"/>
              <w:ind w:right="319"/>
              <w:spacing w:after="0"/>
              <w:rPr>
                <w:sz w:val="20"/>
                <w:szCs w:val="20"/>
                <w:color w:val="auto"/>
              </w:rPr>
            </w:pPr>
            <w:r>
              <w:rPr>
                <w:rFonts w:ascii="Arial" w:cs="Arial" w:eastAsia="Arial" w:hAnsi="Arial"/>
                <w:sz w:val="16"/>
                <w:szCs w:val="16"/>
                <w:color w:val="auto"/>
              </w:rPr>
              <w:t>Amount</w:t>
            </w:r>
          </w:p>
        </w:tc>
        <w:tc>
          <w:tcPr>
            <w:tcW w:w="1140" w:type="dxa"/>
            <w:vAlign w:val="bottom"/>
            <w:gridSpan w:val="2"/>
          </w:tcPr>
          <w:p>
            <w:pPr>
              <w:jc w:val="right"/>
              <w:ind w:right="300"/>
              <w:spacing w:after="0"/>
              <w:rPr>
                <w:sz w:val="20"/>
                <w:szCs w:val="20"/>
                <w:color w:val="auto"/>
              </w:rPr>
            </w:pPr>
            <w:r>
              <w:rPr>
                <w:rFonts w:ascii="Arial" w:cs="Arial" w:eastAsia="Arial" w:hAnsi="Arial"/>
                <w:sz w:val="16"/>
                <w:szCs w:val="16"/>
                <w:color w:val="auto"/>
                <w:w w:val="94"/>
              </w:rPr>
              <w:t>Outstanding</w:t>
            </w:r>
          </w:p>
        </w:tc>
        <w:tc>
          <w:tcPr>
            <w:tcW w:w="120" w:type="dxa"/>
            <w:vAlign w:val="bottom"/>
          </w:tcPr>
          <w:p>
            <w:pPr>
              <w:spacing w:after="0"/>
              <w:rPr>
                <w:sz w:val="17"/>
                <w:szCs w:val="17"/>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6"/>
                <w:szCs w:val="16"/>
                <w:color w:val="auto"/>
              </w:rPr>
              <w:t>(A) - (B)</w:t>
            </w:r>
          </w:p>
        </w:tc>
        <w:tc>
          <w:tcPr>
            <w:tcW w:w="120" w:type="dxa"/>
            <w:vAlign w:val="bottom"/>
          </w:tcPr>
          <w:p>
            <w:pPr>
              <w:spacing w:after="0"/>
              <w:rPr>
                <w:sz w:val="17"/>
                <w:szCs w:val="17"/>
                <w:color w:val="auto"/>
              </w:rPr>
            </w:pPr>
          </w:p>
        </w:tc>
        <w:tc>
          <w:tcPr>
            <w:tcW w:w="900" w:type="dxa"/>
            <w:vAlign w:val="bottom"/>
            <w:gridSpan w:val="3"/>
          </w:tcPr>
          <w:p>
            <w:pPr>
              <w:jc w:val="right"/>
              <w:ind w:right="280"/>
              <w:spacing w:after="0"/>
              <w:rPr>
                <w:sz w:val="20"/>
                <w:szCs w:val="20"/>
                <w:color w:val="auto"/>
              </w:rPr>
            </w:pPr>
            <w:r>
              <w:rPr>
                <w:rFonts w:ascii="Arial" w:cs="Arial" w:eastAsia="Arial" w:hAnsi="Arial"/>
                <w:sz w:val="16"/>
                <w:szCs w:val="16"/>
                <w:color w:val="auto"/>
              </w:rPr>
              <w:t>(A) - (C)</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400" w:type="dxa"/>
            <w:vAlign w:val="bottom"/>
            <w:vMerge w:val="restart"/>
            <w:shd w:val="clear" w:color="auto" w:fill="CCEEFF"/>
          </w:tcPr>
          <w:p>
            <w:pPr>
              <w:spacing w:after="0"/>
              <w:rPr>
                <w:sz w:val="20"/>
                <w:szCs w:val="20"/>
                <w:color w:val="auto"/>
              </w:rPr>
            </w:pPr>
            <w:r>
              <w:rPr>
                <w:rFonts w:ascii="Arial" w:cs="Arial" w:eastAsia="Arial" w:hAnsi="Arial"/>
                <w:sz w:val="16"/>
                <w:szCs w:val="16"/>
                <w:color w:val="auto"/>
              </w:rPr>
              <w:t>ARGENTINA</w:t>
            </w:r>
          </w:p>
        </w:tc>
        <w:tc>
          <w:tcPr>
            <w:tcW w:w="1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900" w:type="dxa"/>
            <w:vAlign w:val="bottom"/>
            <w:tcBorders>
              <w:left w:val="single" w:sz="8" w:color="auto"/>
            </w:tcBorders>
            <w:shd w:val="clear" w:color="auto" w:fill="000000"/>
          </w:tcPr>
          <w:p>
            <w:pPr>
              <w:spacing w:after="0" w:line="20" w:lineRule="exact"/>
              <w:rPr>
                <w:sz w:val="1"/>
                <w:szCs w:val="1"/>
                <w:color w:val="auto"/>
              </w:rPr>
            </w:pPr>
          </w:p>
        </w:tc>
        <w:tc>
          <w:tcPr>
            <w:tcW w:w="240" w:type="dxa"/>
            <w:vAlign w:val="bottom"/>
            <w:tcBorders>
              <w:right w:val="single" w:sz="8" w:color="CCEEFF"/>
            </w:tcBorders>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900" w:type="dxa"/>
            <w:vAlign w:val="bottom"/>
            <w:tcBorders>
              <w:left w:val="single" w:sz="8" w:color="auto"/>
            </w:tcBorders>
            <w:shd w:val="clear" w:color="auto" w:fill="000000"/>
          </w:tcPr>
          <w:p>
            <w:pPr>
              <w:spacing w:after="0" w:line="20" w:lineRule="exact"/>
              <w:rPr>
                <w:sz w:val="1"/>
                <w:szCs w:val="1"/>
                <w:color w:val="auto"/>
              </w:rPr>
            </w:pPr>
          </w:p>
        </w:tc>
        <w:tc>
          <w:tcPr>
            <w:tcW w:w="260" w:type="dxa"/>
            <w:vAlign w:val="bottom"/>
            <w:tcBorders>
              <w:right w:val="single" w:sz="8" w:color="CCEEFF"/>
            </w:tcBorders>
            <w:vMerge w:val="restart"/>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80" w:type="dxa"/>
            <w:vAlign w:val="bottom"/>
            <w:tcBorders>
              <w:left w:val="single" w:sz="8" w:color="auto"/>
            </w:tcBorders>
            <w:shd w:val="clear" w:color="auto" w:fill="000000"/>
          </w:tcPr>
          <w:p>
            <w:pPr>
              <w:spacing w:after="0" w:line="20" w:lineRule="exact"/>
              <w:rPr>
                <w:sz w:val="1"/>
                <w:szCs w:val="1"/>
                <w:color w:val="auto"/>
              </w:rPr>
            </w:pPr>
          </w:p>
        </w:tc>
        <w:tc>
          <w:tcPr>
            <w:tcW w:w="260" w:type="dxa"/>
            <w:vAlign w:val="bottom"/>
            <w:vMerge w:val="restart"/>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gridSpan w:val="2"/>
            <w:vMerge w:val="restart"/>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8"/>
        </w:trPr>
        <w:tc>
          <w:tcPr>
            <w:tcW w:w="20" w:type="dxa"/>
            <w:vAlign w:val="bottom"/>
          </w:tcPr>
          <w:p>
            <w:pPr>
              <w:spacing w:after="0"/>
              <w:rPr>
                <w:sz w:val="16"/>
                <w:szCs w:val="16"/>
                <w:color w:val="auto"/>
              </w:rPr>
            </w:pPr>
          </w:p>
        </w:tc>
        <w:tc>
          <w:tcPr>
            <w:tcW w:w="2400" w:type="dxa"/>
            <w:vAlign w:val="bottom"/>
            <w:vMerge w:val="continue"/>
            <w:shd w:val="clear" w:color="auto" w:fill="CCEEFF"/>
          </w:tcPr>
          <w:p>
            <w:pPr>
              <w:spacing w:after="0"/>
              <w:rPr>
                <w:sz w:val="16"/>
                <w:szCs w:val="16"/>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w:t>
            </w:r>
          </w:p>
        </w:tc>
        <w:tc>
          <w:tcPr>
            <w:tcW w:w="220" w:type="dxa"/>
            <w:vAlign w:val="bottom"/>
            <w:vMerge w:val="continue"/>
            <w:shd w:val="clear" w:color="auto" w:fill="CCEEFF"/>
          </w:tcPr>
          <w:p>
            <w:pPr>
              <w:spacing w:after="0"/>
              <w:rPr>
                <w:sz w:val="16"/>
                <w:szCs w:val="16"/>
                <w:color w:val="auto"/>
              </w:rPr>
            </w:pPr>
          </w:p>
        </w:tc>
        <w:tc>
          <w:tcPr>
            <w:tcW w:w="90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240" w:type="dxa"/>
            <w:vAlign w:val="bottom"/>
            <w:tcBorders>
              <w:right w:val="single" w:sz="8" w:color="CCEEFF"/>
            </w:tcBorders>
            <w:vMerge w:val="continue"/>
            <w:shd w:val="clear" w:color="auto" w:fill="CCEEFF"/>
          </w:tcPr>
          <w:p>
            <w:pPr>
              <w:spacing w:after="0"/>
              <w:rPr>
                <w:sz w:val="16"/>
                <w:szCs w:val="16"/>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w:t>
            </w:r>
          </w:p>
        </w:tc>
        <w:tc>
          <w:tcPr>
            <w:tcW w:w="220" w:type="dxa"/>
            <w:vAlign w:val="bottom"/>
            <w:vMerge w:val="continue"/>
            <w:shd w:val="clear" w:color="auto" w:fill="CCEEFF"/>
          </w:tcPr>
          <w:p>
            <w:pPr>
              <w:spacing w:after="0"/>
              <w:rPr>
                <w:sz w:val="16"/>
                <w:szCs w:val="16"/>
                <w:color w:val="auto"/>
              </w:rPr>
            </w:pPr>
          </w:p>
        </w:tc>
        <w:tc>
          <w:tcPr>
            <w:tcW w:w="90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260" w:type="dxa"/>
            <w:vAlign w:val="bottom"/>
            <w:tcBorders>
              <w:right w:val="single" w:sz="8" w:color="CCEEFF"/>
            </w:tcBorders>
            <w:vMerge w:val="continue"/>
            <w:shd w:val="clear" w:color="auto" w:fill="CCEEFF"/>
          </w:tcPr>
          <w:p>
            <w:pPr>
              <w:spacing w:after="0"/>
              <w:rPr>
                <w:sz w:val="16"/>
                <w:szCs w:val="16"/>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180</w:t>
            </w:r>
          </w:p>
        </w:tc>
        <w:tc>
          <w:tcPr>
            <w:tcW w:w="220" w:type="dxa"/>
            <w:vAlign w:val="bottom"/>
            <w:vMerge w:val="continue"/>
            <w:shd w:val="clear" w:color="auto" w:fill="CCEEFF"/>
          </w:tcPr>
          <w:p>
            <w:pPr>
              <w:spacing w:after="0"/>
              <w:rPr>
                <w:sz w:val="16"/>
                <w:szCs w:val="16"/>
                <w:color w:val="auto"/>
              </w:rPr>
            </w:pPr>
          </w:p>
        </w:tc>
        <w:tc>
          <w:tcPr>
            <w:tcW w:w="88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4</w:t>
            </w:r>
          </w:p>
        </w:tc>
        <w:tc>
          <w:tcPr>
            <w:tcW w:w="260" w:type="dxa"/>
            <w:vAlign w:val="bottom"/>
            <w:vMerge w:val="continue"/>
            <w:shd w:val="clear" w:color="auto" w:fill="CCEEFF"/>
          </w:tcPr>
          <w:p>
            <w:pPr>
              <w:spacing w:after="0"/>
              <w:rPr>
                <w:sz w:val="16"/>
                <w:szCs w:val="16"/>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(74)</w:t>
            </w:r>
          </w:p>
        </w:tc>
        <w:tc>
          <w:tcPr>
            <w:tcW w:w="120" w:type="dxa"/>
            <w:vAlign w:val="bottom"/>
            <w:gridSpan w:val="2"/>
            <w:vMerge w:val="continue"/>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BOLIVIA</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15</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0</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15</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8</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7</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1,302</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20</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1,220</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20</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809</w:t>
            </w:r>
          </w:p>
        </w:tc>
        <w:tc>
          <w:tcPr>
            <w:tcW w:w="88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82</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493</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CHILE</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722</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11</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645</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11</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479</w:t>
            </w:r>
          </w:p>
        </w:tc>
        <w:tc>
          <w:tcPr>
            <w:tcW w:w="880" w:type="dxa"/>
            <w:vAlign w:val="bottom"/>
          </w:tcPr>
          <w:p>
            <w:pPr>
              <w:jc w:val="right"/>
              <w:spacing w:after="0"/>
              <w:rPr>
                <w:sz w:val="20"/>
                <w:szCs w:val="20"/>
                <w:color w:val="auto"/>
              </w:rPr>
            </w:pPr>
            <w:r>
              <w:rPr>
                <w:rFonts w:ascii="Arial" w:cs="Arial" w:eastAsia="Arial" w:hAnsi="Arial"/>
                <w:sz w:val="16"/>
                <w:szCs w:val="16"/>
                <w:color w:val="auto"/>
              </w:rPr>
              <w:t>10</w:t>
            </w: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77</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243</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733</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11</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719</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805</w:t>
            </w:r>
          </w:p>
        </w:tc>
        <w:tc>
          <w:tcPr>
            <w:tcW w:w="88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14</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(72)</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COSTA RICA</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184</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3</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191</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3</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221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(7)</w:t>
            </w:r>
          </w:p>
        </w:tc>
        <w:tc>
          <w:tcPr>
            <w:tcW w:w="120" w:type="dxa"/>
            <w:vAlign w:val="bottom"/>
          </w:tcPr>
          <w:p>
            <w:pPr>
              <w:spacing w:after="0"/>
              <w:rPr>
                <w:sz w:val="16"/>
                <w:szCs w:val="16"/>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(37)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311</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5</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205</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137</w:t>
            </w: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106</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174</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ECUADOR</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258</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4</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212</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3</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191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46</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67</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34</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1</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31</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62</w:t>
            </w:r>
          </w:p>
        </w:tc>
        <w:tc>
          <w:tcPr>
            <w:tcW w:w="220" w:type="dxa"/>
            <w:vAlign w:val="bottom"/>
            <w:shd w:val="clear" w:color="auto" w:fill="CCEEFF"/>
          </w:tcPr>
          <w:p>
            <w:pPr>
              <w:spacing w:after="0"/>
              <w:rPr>
                <w:sz w:val="16"/>
                <w:szCs w:val="16"/>
                <w:color w:val="auto"/>
              </w:rPr>
            </w:pP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(28)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GUATEMALA</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418</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6</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338</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304</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80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114</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37</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1</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20</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108</w:t>
            </w: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17</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(71)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JAMAICA</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36</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1</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46</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1</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(10)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25</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663</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10</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593</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484</w:t>
            </w:r>
          </w:p>
        </w:tc>
        <w:tc>
          <w:tcPr>
            <w:tcW w:w="88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70</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179</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PANAMA</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272</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4</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324</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5</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400</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8</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(52)</w:t>
            </w:r>
          </w:p>
        </w:tc>
        <w:tc>
          <w:tcPr>
            <w:tcW w:w="120" w:type="dxa"/>
            <w:vAlign w:val="bottom"/>
          </w:tcPr>
          <w:p>
            <w:pPr>
              <w:spacing w:after="0"/>
              <w:rPr>
                <w:sz w:val="16"/>
                <w:szCs w:val="16"/>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(128)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61</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1</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128</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220" w:type="dxa"/>
            <w:vAlign w:val="bottom"/>
            <w:shd w:val="clear" w:color="auto" w:fill="CCEEFF"/>
          </w:tcPr>
          <w:p>
            <w:pPr>
              <w:spacing w:after="0"/>
              <w:rPr>
                <w:sz w:val="16"/>
                <w:szCs w:val="16"/>
                <w:color w:val="auto"/>
              </w:rPr>
            </w:pP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(67)</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(35)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PERU</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399</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6</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386</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178</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13</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221</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TRINIDAD &amp; TOBAGO</w:t>
            </w:r>
          </w:p>
        </w:tc>
        <w:tc>
          <w:tcPr>
            <w:tcW w:w="12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140</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2</w:t>
            </w:r>
          </w:p>
        </w:tc>
        <w:tc>
          <w:tcPr>
            <w:tcW w:w="14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152</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179</w:t>
            </w: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(39)</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spacing w:after="0"/>
              <w:rPr>
                <w:sz w:val="20"/>
                <w:szCs w:val="20"/>
                <w:color w:val="auto"/>
              </w:rPr>
            </w:pPr>
            <w:r>
              <w:rPr>
                <w:rFonts w:ascii="Arial" w:cs="Arial" w:eastAsia="Arial" w:hAnsi="Arial"/>
                <w:sz w:val="16"/>
                <w:szCs w:val="16"/>
                <w:color w:val="auto"/>
              </w:rPr>
              <w:t>URUGUAY</w:t>
            </w:r>
          </w:p>
        </w:tc>
        <w:tc>
          <w:tcPr>
            <w:tcW w:w="12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110</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2</w:t>
            </w:r>
          </w:p>
        </w:tc>
        <w:tc>
          <w:tcPr>
            <w:tcW w:w="140" w:type="dxa"/>
            <w:vAlign w:val="bottom"/>
          </w:tcPr>
          <w:p>
            <w:pPr>
              <w:spacing w:after="0"/>
              <w:rPr>
                <w:sz w:val="16"/>
                <w:szCs w:val="16"/>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97</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0</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13</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110</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2400" w:type="dxa"/>
            <w:vAlign w:val="bottom"/>
            <w:shd w:val="clear" w:color="auto" w:fill="CCEEFF"/>
          </w:tcPr>
          <w:p>
            <w:pPr>
              <w:spacing w:after="0" w:line="183" w:lineRule="exact"/>
              <w:rPr>
                <w:sz w:val="20"/>
                <w:szCs w:val="20"/>
                <w:color w:val="auto"/>
              </w:rPr>
            </w:pPr>
            <w:r>
              <w:rPr>
                <w:rFonts w:ascii="Arial" w:cs="Arial" w:eastAsia="Arial" w:hAnsi="Arial"/>
                <w:sz w:val="16"/>
                <w:szCs w:val="16"/>
                <w:color w:val="auto"/>
              </w:rPr>
              <w:t>MULTILATERAL</w:t>
            </w: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00" w:type="dxa"/>
            <w:vAlign w:val="bottom"/>
            <w:tcBorders>
              <w:left w:val="single" w:sz="8" w:color="CCEEFF"/>
            </w:tcBorders>
            <w:shd w:val="clear" w:color="auto" w:fill="CCEEFF"/>
          </w:tcPr>
          <w:p>
            <w:pPr>
              <w:spacing w:after="0"/>
              <w:rPr>
                <w:sz w:val="15"/>
                <w:szCs w:val="15"/>
                <w:color w:val="auto"/>
              </w:rPr>
            </w:pPr>
          </w:p>
        </w:tc>
        <w:tc>
          <w:tcPr>
            <w:tcW w:w="240" w:type="dxa"/>
            <w:vAlign w:val="bottom"/>
            <w:tcBorders>
              <w:right w:val="single" w:sz="8" w:color="CCEEFF"/>
            </w:tcBorders>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00" w:type="dxa"/>
            <w:vAlign w:val="bottom"/>
            <w:tcBorders>
              <w:left w:val="single" w:sz="8" w:color="CCEEFF"/>
            </w:tcBorders>
            <w:shd w:val="clear" w:color="auto" w:fill="CCEEFF"/>
          </w:tcPr>
          <w:p>
            <w:pPr>
              <w:spacing w:after="0"/>
              <w:rPr>
                <w:sz w:val="15"/>
                <w:szCs w:val="15"/>
                <w:color w:val="auto"/>
              </w:rPr>
            </w:pPr>
          </w:p>
        </w:tc>
        <w:tc>
          <w:tcPr>
            <w:tcW w:w="260" w:type="dxa"/>
            <w:vAlign w:val="bottom"/>
            <w:tcBorders>
              <w:right w:val="single" w:sz="8" w:color="CCEEFF"/>
            </w:tcBorders>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80" w:type="dxa"/>
            <w:vAlign w:val="bottom"/>
            <w:tcBorders>
              <w:left w:val="single" w:sz="8" w:color="CCEEFF"/>
            </w:tcBorders>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6"/>
                <w:szCs w:val="16"/>
                <w:color w:val="auto"/>
              </w:rPr>
              <w:t>ORGANIZATIONS</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112</w:t>
            </w:r>
          </w:p>
        </w:tc>
        <w:tc>
          <w:tcPr>
            <w:tcW w:w="1140" w:type="dxa"/>
            <w:vAlign w:val="bottom"/>
            <w:tcBorders>
              <w:left w:val="single" w:sz="8" w:color="CCEEFF"/>
              <w:right w:val="single" w:sz="8" w:color="CCEEFF"/>
            </w:tcBorders>
            <w:gridSpan w:val="2"/>
            <w:shd w:val="clear" w:color="auto" w:fill="CCEEFF"/>
          </w:tcPr>
          <w:p>
            <w:pPr>
              <w:jc w:val="right"/>
              <w:ind w:right="159"/>
              <w:spacing w:after="0"/>
              <w:rPr>
                <w:sz w:val="20"/>
                <w:szCs w:val="20"/>
                <w:color w:val="auto"/>
              </w:rPr>
            </w:pPr>
            <w:r>
              <w:rPr>
                <w:rFonts w:ascii="Arial" w:cs="Arial" w:eastAsia="Arial" w:hAnsi="Arial"/>
                <w:sz w:val="16"/>
                <w:szCs w:val="16"/>
                <w:color w:val="auto"/>
              </w:rPr>
              <w:t>2</w:t>
            </w:r>
          </w:p>
        </w:tc>
        <w:tc>
          <w:tcPr>
            <w:tcW w:w="1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112</w:t>
            </w:r>
          </w:p>
        </w:tc>
        <w:tc>
          <w:tcPr>
            <w:tcW w:w="1160" w:type="dxa"/>
            <w:vAlign w:val="bottom"/>
            <w:tcBorders>
              <w:left w:val="single" w:sz="8" w:color="CCEEFF"/>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0</w:t>
            </w:r>
          </w:p>
        </w:tc>
        <w:tc>
          <w:tcPr>
            <w:tcW w:w="1140" w:type="dxa"/>
            <w:vAlign w:val="bottom"/>
            <w:tcBorders>
              <w:lef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112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2400" w:type="dxa"/>
            <w:vAlign w:val="bottom"/>
          </w:tcPr>
          <w:p>
            <w:pPr>
              <w:spacing w:after="0" w:line="244" w:lineRule="exact"/>
              <w:rPr>
                <w:sz w:val="20"/>
                <w:szCs w:val="20"/>
                <w:color w:val="auto"/>
              </w:rPr>
            </w:pPr>
            <w:r>
              <w:rPr>
                <w:rFonts w:ascii="Arial" w:cs="Arial" w:eastAsia="Arial" w:hAnsi="Arial"/>
                <w:sz w:val="16"/>
                <w:szCs w:val="16"/>
                <w:color w:val="auto"/>
              </w:rPr>
              <w:t xml:space="preserve">OTHER NON-LATAM </w:t>
            </w:r>
            <w:r>
              <w:rPr>
                <w:rFonts w:ascii="Arial" w:cs="Arial" w:eastAsia="Arial" w:hAnsi="Arial"/>
                <w:sz w:val="27"/>
                <w:szCs w:val="27"/>
                <w:color w:val="auto"/>
                <w:vertAlign w:val="superscript"/>
              </w:rPr>
              <w:t>(1)</w:t>
            </w:r>
          </w:p>
        </w:tc>
        <w:tc>
          <w:tcPr>
            <w:tcW w:w="120" w:type="dxa"/>
            <w:vAlign w:val="bottom"/>
          </w:tcPr>
          <w:p>
            <w:pPr>
              <w:spacing w:after="0"/>
              <w:rPr>
                <w:sz w:val="21"/>
                <w:szCs w:val="21"/>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618</w:t>
            </w:r>
          </w:p>
        </w:tc>
        <w:tc>
          <w:tcPr>
            <w:tcW w:w="1140" w:type="dxa"/>
            <w:vAlign w:val="bottom"/>
            <w:gridSpan w:val="2"/>
          </w:tcPr>
          <w:p>
            <w:pPr>
              <w:jc w:val="right"/>
              <w:ind w:right="159"/>
              <w:spacing w:after="0"/>
              <w:rPr>
                <w:sz w:val="20"/>
                <w:szCs w:val="20"/>
                <w:color w:val="auto"/>
              </w:rPr>
            </w:pPr>
            <w:r>
              <w:rPr>
                <w:rFonts w:ascii="Arial" w:cs="Arial" w:eastAsia="Arial" w:hAnsi="Arial"/>
                <w:sz w:val="16"/>
                <w:szCs w:val="16"/>
                <w:color w:val="auto"/>
              </w:rPr>
              <w:t>9</w:t>
            </w:r>
          </w:p>
        </w:tc>
        <w:tc>
          <w:tcPr>
            <w:tcW w:w="140" w:type="dxa"/>
            <w:vAlign w:val="bottom"/>
          </w:tcPr>
          <w:p>
            <w:pPr>
              <w:spacing w:after="0"/>
              <w:rPr>
                <w:sz w:val="21"/>
                <w:szCs w:val="21"/>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555</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9</w:t>
            </w:r>
          </w:p>
        </w:tc>
        <w:tc>
          <w:tcPr>
            <w:tcW w:w="120" w:type="dxa"/>
            <w:vAlign w:val="bottom"/>
          </w:tcPr>
          <w:p>
            <w:pPr>
              <w:spacing w:after="0"/>
              <w:rPr>
                <w:sz w:val="21"/>
                <w:szCs w:val="21"/>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359</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7</w:t>
            </w:r>
          </w:p>
        </w:tc>
        <w:tc>
          <w:tcPr>
            <w:tcW w:w="120" w:type="dxa"/>
            <w:vAlign w:val="bottom"/>
          </w:tcPr>
          <w:p>
            <w:pPr>
              <w:spacing w:after="0"/>
              <w:rPr>
                <w:sz w:val="21"/>
                <w:szCs w:val="21"/>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63</w:t>
            </w:r>
          </w:p>
        </w:tc>
        <w:tc>
          <w:tcPr>
            <w:tcW w:w="120" w:type="dxa"/>
            <w:vAlign w:val="bottom"/>
          </w:tcPr>
          <w:p>
            <w:pPr>
              <w:spacing w:after="0"/>
              <w:rPr>
                <w:sz w:val="21"/>
                <w:szCs w:val="21"/>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259</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240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00" w:type="dxa"/>
            <w:vAlign w:val="bottom"/>
            <w:tcBorders>
              <w:top w:val="single" w:sz="8" w:color="auto"/>
              <w:left w:val="single" w:sz="8" w:color="CCEEFF"/>
            </w:tcBorders>
            <w:shd w:val="clear" w:color="auto" w:fill="CCEEFF"/>
          </w:tcPr>
          <w:p>
            <w:pPr>
              <w:spacing w:after="0"/>
              <w:rPr>
                <w:sz w:val="16"/>
                <w:szCs w:val="16"/>
                <w:color w:val="auto"/>
              </w:rPr>
            </w:pPr>
          </w:p>
        </w:tc>
        <w:tc>
          <w:tcPr>
            <w:tcW w:w="240" w:type="dxa"/>
            <w:vAlign w:val="bottom"/>
            <w:tcBorders>
              <w:top w:val="single" w:sz="8" w:color="CCEEFF"/>
              <w:right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7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00" w:type="dxa"/>
            <w:vAlign w:val="bottom"/>
            <w:tcBorders>
              <w:top w:val="single" w:sz="8" w:color="auto"/>
              <w:left w:val="single" w:sz="8" w:color="CCEEFF"/>
            </w:tcBorders>
            <w:shd w:val="clear" w:color="auto" w:fill="CCEEFF"/>
          </w:tcPr>
          <w:p>
            <w:pPr>
              <w:spacing w:after="0"/>
              <w:rPr>
                <w:sz w:val="16"/>
                <w:szCs w:val="16"/>
                <w:color w:val="auto"/>
              </w:rPr>
            </w:pPr>
          </w:p>
        </w:tc>
        <w:tc>
          <w:tcPr>
            <w:tcW w:w="260" w:type="dxa"/>
            <w:vAlign w:val="bottom"/>
            <w:tcBorders>
              <w:top w:val="single" w:sz="8" w:color="CCEEFF"/>
              <w:right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880" w:type="dxa"/>
            <w:vAlign w:val="bottom"/>
            <w:tcBorders>
              <w:top w:val="single" w:sz="8" w:color="auto"/>
              <w:left w:val="single" w:sz="8" w:color="CCEEFF"/>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vMerge w:val="continue"/>
          </w:tcPr>
          <w:p>
            <w:pPr>
              <w:spacing w:after="0"/>
              <w:rPr>
                <w:sz w:val="20"/>
                <w:szCs w:val="20"/>
                <w:color w:val="auto"/>
              </w:rPr>
            </w:pPr>
          </w:p>
        </w:tc>
        <w:tc>
          <w:tcPr>
            <w:tcW w:w="2400" w:type="dxa"/>
            <w:vAlign w:val="bottom"/>
          </w:tcPr>
          <w:p>
            <w:pPr>
              <w:spacing w:after="0" w:line="232" w:lineRule="exact"/>
              <w:rPr>
                <w:sz w:val="20"/>
                <w:szCs w:val="20"/>
                <w:color w:val="auto"/>
              </w:rPr>
            </w:pPr>
            <w:r>
              <w:rPr>
                <w:rFonts w:ascii="Arial" w:cs="Arial" w:eastAsia="Arial" w:hAnsi="Arial"/>
                <w:sz w:val="16"/>
                <w:szCs w:val="16"/>
                <w:color w:val="auto"/>
                <w:w w:val="99"/>
              </w:rPr>
              <w:t xml:space="preserve">TOTAL CREDIT PORTFOLIO </w:t>
            </w:r>
            <w:r>
              <w:rPr>
                <w:rFonts w:ascii="Arial" w:cs="Arial" w:eastAsia="Arial" w:hAnsi="Arial"/>
                <w:sz w:val="26"/>
                <w:szCs w:val="26"/>
                <w:color w:val="auto"/>
                <w:w w:val="99"/>
                <w:vertAlign w:val="superscript"/>
              </w:rPr>
              <w:t>(2)</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6,531</w:t>
            </w:r>
          </w:p>
        </w:tc>
        <w:tc>
          <w:tcPr>
            <w:tcW w:w="1140" w:type="dxa"/>
            <w:vAlign w:val="bottom"/>
            <w:gridSpan w:val="2"/>
          </w:tcPr>
          <w:p>
            <w:pPr>
              <w:jc w:val="right"/>
              <w:ind w:right="39"/>
              <w:spacing w:after="0"/>
              <w:rPr>
                <w:sz w:val="20"/>
                <w:szCs w:val="20"/>
                <w:color w:val="auto"/>
              </w:rPr>
            </w:pPr>
            <w:r>
              <w:rPr>
                <w:rFonts w:ascii="Arial" w:cs="Arial" w:eastAsia="Arial" w:hAnsi="Arial"/>
                <w:sz w:val="16"/>
                <w:szCs w:val="16"/>
                <w:color w:val="auto"/>
              </w:rPr>
              <w:t>100%</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6,097</w:t>
            </w: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100%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5,011</w:t>
            </w:r>
          </w:p>
        </w:tc>
        <w:tc>
          <w:tcPr>
            <w:tcW w:w="1140" w:type="dxa"/>
            <w:vAlign w:val="bottom"/>
            <w:gridSpan w:val="2"/>
          </w:tcPr>
          <w:p>
            <w:pPr>
              <w:jc w:val="right"/>
              <w:ind w:right="120"/>
              <w:spacing w:after="0"/>
              <w:rPr>
                <w:sz w:val="20"/>
                <w:szCs w:val="20"/>
                <w:color w:val="auto"/>
              </w:rPr>
            </w:pPr>
            <w:r>
              <w:rPr>
                <w:rFonts w:ascii="Arial" w:cs="Arial" w:eastAsia="Arial" w:hAnsi="Arial"/>
                <w:sz w:val="16"/>
                <w:szCs w:val="16"/>
                <w:color w:val="auto"/>
              </w:rPr>
              <w:t>100%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434</w:t>
            </w: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1,520</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24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00" w:type="dxa"/>
            <w:vAlign w:val="bottom"/>
            <w:tcBorders>
              <w:left w:val="single" w:sz="8" w:color="CCEEFF"/>
            </w:tcBorders>
            <w:shd w:val="clear" w:color="auto" w:fill="CCEEFF"/>
          </w:tcPr>
          <w:p>
            <w:pPr>
              <w:spacing w:after="0"/>
              <w:rPr>
                <w:sz w:val="16"/>
                <w:szCs w:val="16"/>
                <w:color w:val="auto"/>
              </w:rPr>
            </w:pPr>
          </w:p>
        </w:tc>
        <w:tc>
          <w:tcPr>
            <w:tcW w:w="240" w:type="dxa"/>
            <w:vAlign w:val="bottom"/>
            <w:tcBorders>
              <w:right w:val="single" w:sz="8" w:color="CCEEFF"/>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00" w:type="dxa"/>
            <w:vAlign w:val="bottom"/>
            <w:tcBorders>
              <w:left w:val="single" w:sz="8" w:color="CCEEFF"/>
            </w:tcBorders>
            <w:shd w:val="clear" w:color="auto" w:fill="CCEEFF"/>
          </w:tcPr>
          <w:p>
            <w:pPr>
              <w:spacing w:after="0"/>
              <w:rPr>
                <w:sz w:val="16"/>
                <w:szCs w:val="16"/>
                <w:color w:val="auto"/>
              </w:rPr>
            </w:pPr>
          </w:p>
        </w:tc>
        <w:tc>
          <w:tcPr>
            <w:tcW w:w="260" w:type="dxa"/>
            <w:vAlign w:val="bottom"/>
            <w:tcBorders>
              <w:right w:val="single" w:sz="8" w:color="CCEEFF"/>
            </w:tcBorders>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tcBorders>
              <w:left w:val="single" w:sz="8" w:color="CCEEFF"/>
            </w:tcBorders>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2400" w:type="dxa"/>
            <w:vAlign w:val="bottom"/>
          </w:tcPr>
          <w:p>
            <w:pPr>
              <w:spacing w:after="0" w:line="183" w:lineRule="exact"/>
              <w:rPr>
                <w:sz w:val="20"/>
                <w:szCs w:val="20"/>
                <w:color w:val="auto"/>
              </w:rPr>
            </w:pPr>
            <w:r>
              <w:rPr>
                <w:rFonts w:ascii="Arial" w:cs="Arial" w:eastAsia="Arial" w:hAnsi="Arial"/>
                <w:sz w:val="16"/>
                <w:szCs w:val="16"/>
                <w:color w:val="auto"/>
              </w:rPr>
              <w:t>UNEARNED INTEREST AND</w:t>
            </w:r>
          </w:p>
        </w:tc>
        <w:tc>
          <w:tcPr>
            <w:tcW w:w="1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2400" w:type="dxa"/>
            <w:vAlign w:val="bottom"/>
          </w:tcPr>
          <w:p>
            <w:pPr>
              <w:ind w:left="120"/>
              <w:spacing w:after="0"/>
              <w:rPr>
                <w:sz w:val="20"/>
                <w:szCs w:val="20"/>
                <w:color w:val="auto"/>
              </w:rPr>
            </w:pPr>
            <w:r>
              <w:rPr>
                <w:rFonts w:ascii="Arial" w:cs="Arial" w:eastAsia="Arial" w:hAnsi="Arial"/>
                <w:sz w:val="16"/>
                <w:szCs w:val="16"/>
                <w:color w:val="auto"/>
              </w:rPr>
              <w:t>DEFERRED FEES</w:t>
            </w:r>
          </w:p>
        </w:tc>
        <w:tc>
          <w:tcPr>
            <w:tcW w:w="120" w:type="dxa"/>
            <w:vAlign w:val="bottom"/>
          </w:tcPr>
          <w:p>
            <w:pPr>
              <w:spacing w:after="0"/>
              <w:rPr>
                <w:sz w:val="19"/>
                <w:szCs w:val="19"/>
                <w:color w:val="auto"/>
              </w:rPr>
            </w:pPr>
          </w:p>
        </w:tc>
        <w:tc>
          <w:tcPr>
            <w:tcW w:w="960" w:type="dxa"/>
            <w:vAlign w:val="bottom"/>
            <w:gridSpan w:val="2"/>
          </w:tcPr>
          <w:p>
            <w:pPr>
              <w:jc w:val="right"/>
              <w:ind w:right="79"/>
              <w:spacing w:after="0"/>
              <w:rPr>
                <w:sz w:val="20"/>
                <w:szCs w:val="20"/>
                <w:color w:val="auto"/>
              </w:rPr>
            </w:pPr>
            <w:r>
              <w:rPr>
                <w:rFonts w:ascii="Arial" w:cs="Arial" w:eastAsia="Arial" w:hAnsi="Arial"/>
                <w:sz w:val="16"/>
                <w:szCs w:val="16"/>
                <w:color w:val="auto"/>
              </w:rPr>
              <w:t>(7)</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gridSpan w:val="2"/>
          </w:tcPr>
          <w:p>
            <w:pPr>
              <w:jc w:val="right"/>
              <w:ind w:right="79"/>
              <w:spacing w:after="0"/>
              <w:rPr>
                <w:sz w:val="20"/>
                <w:szCs w:val="20"/>
                <w:color w:val="auto"/>
              </w:rPr>
            </w:pPr>
            <w:r>
              <w:rPr>
                <w:rFonts w:ascii="Arial" w:cs="Arial" w:eastAsia="Arial" w:hAnsi="Arial"/>
                <w:sz w:val="16"/>
                <w:szCs w:val="16"/>
                <w:color w:val="auto"/>
              </w:rPr>
              <w:t>(6)</w:t>
            </w:r>
          </w:p>
        </w:tc>
        <w:tc>
          <w:tcPr>
            <w:tcW w:w="9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gridSpan w:val="2"/>
          </w:tcPr>
          <w:p>
            <w:pPr>
              <w:jc w:val="right"/>
              <w:ind w:right="99"/>
              <w:spacing w:after="0"/>
              <w:rPr>
                <w:sz w:val="20"/>
                <w:szCs w:val="20"/>
                <w:color w:val="auto"/>
              </w:rPr>
            </w:pPr>
            <w:r>
              <w:rPr>
                <w:rFonts w:ascii="Arial" w:cs="Arial" w:eastAsia="Arial" w:hAnsi="Arial"/>
                <w:sz w:val="16"/>
                <w:szCs w:val="16"/>
                <w:color w:val="auto"/>
              </w:rPr>
              <w:t>(8)</w:t>
            </w:r>
          </w:p>
        </w:tc>
        <w:tc>
          <w:tcPr>
            <w:tcW w:w="8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(1)</w:t>
            </w:r>
          </w:p>
        </w:tc>
        <w:tc>
          <w:tcPr>
            <w:tcW w:w="120" w:type="dxa"/>
            <w:vAlign w:val="bottom"/>
          </w:tcPr>
          <w:p>
            <w:pPr>
              <w:spacing w:after="0"/>
              <w:rPr>
                <w:sz w:val="19"/>
                <w:szCs w:val="19"/>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8"/>
        </w:trPr>
        <w:tc>
          <w:tcPr>
            <w:tcW w:w="20" w:type="dxa"/>
            <w:vAlign w:val="bottom"/>
            <w:vMerge w:val="restart"/>
          </w:tcPr>
          <w:p>
            <w:pPr>
              <w:spacing w:after="0"/>
              <w:rPr>
                <w:sz w:val="16"/>
                <w:szCs w:val="16"/>
                <w:color w:val="auto"/>
              </w:rPr>
            </w:pPr>
          </w:p>
        </w:tc>
        <w:tc>
          <w:tcPr>
            <w:tcW w:w="240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00" w:type="dxa"/>
            <w:vAlign w:val="bottom"/>
            <w:tcBorders>
              <w:top w:val="single" w:sz="8" w:color="CCEEFF"/>
              <w:left w:val="single" w:sz="8" w:color="CCEEFF"/>
            </w:tcBorders>
            <w:shd w:val="clear" w:color="auto" w:fill="CCEEFF"/>
          </w:tcPr>
          <w:p>
            <w:pPr>
              <w:spacing w:after="0"/>
              <w:rPr>
                <w:sz w:val="16"/>
                <w:szCs w:val="16"/>
                <w:color w:val="auto"/>
              </w:rPr>
            </w:pPr>
          </w:p>
        </w:tc>
        <w:tc>
          <w:tcPr>
            <w:tcW w:w="240" w:type="dxa"/>
            <w:vAlign w:val="bottom"/>
            <w:tcBorders>
              <w:top w:val="single" w:sz="8" w:color="CCEEFF"/>
              <w:right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7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00" w:type="dxa"/>
            <w:vAlign w:val="bottom"/>
            <w:tcBorders>
              <w:top w:val="single" w:sz="8" w:color="CCEEFF"/>
              <w:left w:val="single" w:sz="8" w:color="CCEEFF"/>
            </w:tcBorders>
            <w:shd w:val="clear" w:color="auto" w:fill="CCEEFF"/>
          </w:tcPr>
          <w:p>
            <w:pPr>
              <w:spacing w:after="0"/>
              <w:rPr>
                <w:sz w:val="16"/>
                <w:szCs w:val="16"/>
                <w:color w:val="auto"/>
              </w:rPr>
            </w:pPr>
          </w:p>
        </w:tc>
        <w:tc>
          <w:tcPr>
            <w:tcW w:w="260" w:type="dxa"/>
            <w:vAlign w:val="bottom"/>
            <w:tcBorders>
              <w:top w:val="single" w:sz="8" w:color="CCEEFF"/>
              <w:right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880" w:type="dxa"/>
            <w:vAlign w:val="bottom"/>
            <w:tcBorders>
              <w:top w:val="single" w:sz="8" w:color="CCEEFF"/>
              <w:left w:val="single" w:sz="8" w:color="CCEEFF"/>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2400" w:type="dxa"/>
            <w:vAlign w:val="bottom"/>
          </w:tcPr>
          <w:p>
            <w:pPr>
              <w:spacing w:after="0" w:line="183" w:lineRule="exact"/>
              <w:rPr>
                <w:sz w:val="20"/>
                <w:szCs w:val="20"/>
                <w:color w:val="auto"/>
              </w:rPr>
            </w:pPr>
            <w:r>
              <w:rPr>
                <w:rFonts w:ascii="Arial" w:cs="Arial" w:eastAsia="Arial" w:hAnsi="Arial"/>
                <w:sz w:val="16"/>
                <w:szCs w:val="16"/>
                <w:color w:val="auto"/>
              </w:rPr>
              <w:t>TOTAL CREDIT PORTFOLIO,</w:t>
            </w:r>
          </w:p>
        </w:tc>
        <w:tc>
          <w:tcPr>
            <w:tcW w:w="1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ind w:left="120"/>
              <w:spacing w:after="0"/>
              <w:rPr>
                <w:sz w:val="20"/>
                <w:szCs w:val="20"/>
                <w:color w:val="auto"/>
              </w:rPr>
            </w:pPr>
            <w:r>
              <w:rPr>
                <w:rFonts w:ascii="Arial" w:cs="Arial" w:eastAsia="Arial" w:hAnsi="Arial"/>
                <w:sz w:val="16"/>
                <w:szCs w:val="16"/>
                <w:color w:val="auto"/>
              </w:rPr>
              <w:t>NET OF UNEARNED</w:t>
            </w: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400" w:type="dxa"/>
            <w:vAlign w:val="bottom"/>
          </w:tcPr>
          <w:p>
            <w:pPr>
              <w:ind w:left="120"/>
              <w:spacing w:after="0"/>
              <w:rPr>
                <w:sz w:val="20"/>
                <w:szCs w:val="20"/>
                <w:color w:val="auto"/>
              </w:rPr>
            </w:pPr>
            <w:r>
              <w:rPr>
                <w:rFonts w:ascii="Arial" w:cs="Arial" w:eastAsia="Arial" w:hAnsi="Arial"/>
                <w:sz w:val="16"/>
                <w:szCs w:val="16"/>
                <w:color w:val="auto"/>
              </w:rPr>
              <w:t>INTEREST &amp; DEFERRED</w:t>
            </w: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2400" w:type="dxa"/>
            <w:vAlign w:val="bottom"/>
          </w:tcPr>
          <w:p>
            <w:pPr>
              <w:ind w:left="120"/>
              <w:spacing w:after="0"/>
              <w:rPr>
                <w:sz w:val="20"/>
                <w:szCs w:val="20"/>
                <w:color w:val="auto"/>
              </w:rPr>
            </w:pPr>
            <w:r>
              <w:rPr>
                <w:rFonts w:ascii="Arial" w:cs="Arial" w:eastAsia="Arial" w:hAnsi="Arial"/>
                <w:sz w:val="16"/>
                <w:szCs w:val="16"/>
                <w:color w:val="auto"/>
              </w:rPr>
              <w:t>FEES</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6,524</w:t>
            </w:r>
          </w:p>
        </w:tc>
        <w:tc>
          <w:tcPr>
            <w:tcW w:w="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39"/>
              <w:spacing w:after="0"/>
              <w:rPr>
                <w:sz w:val="20"/>
                <w:szCs w:val="20"/>
                <w:color w:val="auto"/>
              </w:rPr>
            </w:pPr>
            <w:r>
              <w:rPr>
                <w:rFonts w:ascii="Arial" w:cs="Arial" w:eastAsia="Arial" w:hAnsi="Arial"/>
                <w:sz w:val="16"/>
                <w:szCs w:val="16"/>
                <w:color w:val="auto"/>
              </w:rPr>
              <w:t>6,091</w:t>
            </w: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tcPr>
          <w:p>
            <w:pPr>
              <w:jc w:val="right"/>
              <w:spacing w:after="0"/>
              <w:rPr>
                <w:sz w:val="20"/>
                <w:szCs w:val="20"/>
                <w:color w:val="auto"/>
              </w:rPr>
            </w:pPr>
            <w:r>
              <w:rPr>
                <w:rFonts w:ascii="Arial" w:cs="Arial" w:eastAsia="Arial" w:hAnsi="Arial"/>
                <w:sz w:val="16"/>
                <w:szCs w:val="16"/>
                <w:color w:val="auto"/>
              </w:rPr>
              <w:t>5,003</w:t>
            </w: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433</w:t>
            </w: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1,521</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181" w:lineRule="exact"/>
        <w:rPr>
          <w:sz w:val="20"/>
          <w:szCs w:val="20"/>
          <w:color w:val="auto"/>
        </w:rPr>
      </w:pPr>
    </w:p>
    <w:p>
      <w:pPr>
        <w:ind w:left="302" w:hanging="302"/>
        <w:spacing w:after="0"/>
        <w:tabs>
          <w:tab w:leader="none" w:pos="302" w:val="left"/>
        </w:tabs>
        <w:numPr>
          <w:ilvl w:val="0"/>
          <w:numId w:val="9"/>
        </w:numPr>
        <w:rPr>
          <w:rFonts w:ascii="Arial" w:cs="Arial" w:eastAsia="Arial" w:hAnsi="Arial"/>
          <w:sz w:val="27"/>
          <w:szCs w:val="27"/>
          <w:color w:val="auto"/>
          <w:vertAlign w:val="superscript"/>
        </w:rPr>
      </w:pPr>
      <w:r>
        <w:rPr>
          <w:rFonts w:ascii="Arial" w:cs="Arial" w:eastAsia="Arial" w:hAnsi="Arial"/>
          <w:sz w:val="16"/>
          <w:szCs w:val="16"/>
          <w:color w:val="auto"/>
        </w:rPr>
        <w:t>Risk in highly rated countries outside the Region, mostly in Europe and North America, related to transactions carried out in the Region.</w:t>
      </w:r>
    </w:p>
    <w:p>
      <w:pPr>
        <w:spacing w:after="0" w:line="2" w:lineRule="exact"/>
        <w:rPr>
          <w:rFonts w:ascii="Arial" w:cs="Arial" w:eastAsia="Arial" w:hAnsi="Arial"/>
          <w:sz w:val="27"/>
          <w:szCs w:val="27"/>
          <w:color w:val="auto"/>
          <w:vertAlign w:val="superscript"/>
        </w:rPr>
      </w:pPr>
    </w:p>
    <w:p>
      <w:pPr>
        <w:jc w:val="both"/>
        <w:ind w:left="302" w:right="20" w:hanging="302"/>
        <w:spacing w:after="0" w:line="206" w:lineRule="auto"/>
        <w:tabs>
          <w:tab w:leader="none" w:pos="302" w:val="left"/>
        </w:tabs>
        <w:numPr>
          <w:ilvl w:val="0"/>
          <w:numId w:val="9"/>
        </w:numPr>
        <w:rPr>
          <w:rFonts w:ascii="Arial" w:cs="Arial" w:eastAsia="Arial" w:hAnsi="Arial"/>
          <w:sz w:val="27"/>
          <w:szCs w:val="27"/>
          <w:color w:val="auto"/>
          <w:vertAlign w:val="superscript"/>
        </w:rPr>
      </w:pPr>
      <w:r>
        <w:rPr>
          <w:rFonts w:ascii="Arial" w:cs="Arial" w:eastAsia="Arial" w:hAnsi="Arial"/>
          <w:sz w:val="16"/>
          <w:szCs w:val="16"/>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38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23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gridSpan w:val="3"/>
          </w:tcPr>
          <w:p>
            <w:pPr>
              <w:jc w:val="right"/>
              <w:spacing w:after="0"/>
              <w:rPr>
                <w:sz w:val="20"/>
                <w:szCs w:val="20"/>
                <w:color w:val="auto"/>
              </w:rPr>
            </w:pPr>
            <w:r>
              <w:rPr>
                <w:rFonts w:ascii="Arial" w:cs="Arial" w:eastAsia="Arial" w:hAnsi="Arial"/>
                <w:sz w:val="16"/>
                <w:szCs w:val="16"/>
                <w:color w:val="auto"/>
              </w:rPr>
              <w:t>EXHIBIT IX</w:t>
            </w:r>
          </w:p>
        </w:tc>
        <w:tc>
          <w:tcPr>
            <w:tcW w:w="0" w:type="dxa"/>
            <w:vAlign w:val="bottom"/>
          </w:tcPr>
          <w:p>
            <w:pPr>
              <w:spacing w:after="0"/>
              <w:rPr>
                <w:sz w:val="1"/>
                <w:szCs w:val="1"/>
                <w:color w:val="auto"/>
              </w:rPr>
            </w:pPr>
          </w:p>
        </w:tc>
      </w:tr>
      <w:tr>
        <w:trPr>
          <w:trHeight w:val="379"/>
        </w:trPr>
        <w:tc>
          <w:tcPr>
            <w:tcW w:w="2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380" w:type="dxa"/>
            <w:vAlign w:val="bottom"/>
            <w:gridSpan w:val="6"/>
          </w:tcPr>
          <w:p>
            <w:pPr>
              <w:ind w:left="100"/>
              <w:spacing w:after="0"/>
              <w:rPr>
                <w:sz w:val="20"/>
                <w:szCs w:val="20"/>
                <w:color w:val="auto"/>
              </w:rPr>
            </w:pPr>
            <w:r>
              <w:rPr>
                <w:rFonts w:ascii="Arial" w:cs="Arial" w:eastAsia="Arial" w:hAnsi="Arial"/>
                <w:sz w:val="16"/>
                <w:szCs w:val="16"/>
                <w:color w:val="auto"/>
              </w:rPr>
              <w:t>COMMERCIAL PORTFOLIO</w:t>
            </w:r>
          </w:p>
        </w:tc>
        <w:tc>
          <w:tcPr>
            <w:tcW w:w="1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380" w:type="dxa"/>
            <w:vAlign w:val="bottom"/>
            <w:gridSpan w:val="6"/>
          </w:tcPr>
          <w:p>
            <w:pPr>
              <w:jc w:val="center"/>
              <w:ind w:right="120"/>
              <w:spacing w:after="0"/>
              <w:rPr>
                <w:sz w:val="20"/>
                <w:szCs w:val="20"/>
                <w:color w:val="auto"/>
              </w:rPr>
            </w:pPr>
            <w:r>
              <w:rPr>
                <w:rFonts w:ascii="Arial" w:cs="Arial" w:eastAsia="Arial" w:hAnsi="Arial"/>
                <w:sz w:val="16"/>
                <w:szCs w:val="16"/>
                <w:color w:val="auto"/>
                <w:w w:val="99"/>
              </w:rPr>
              <w:t>DISTRIBUTION BY COUNTRY</w:t>
            </w: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23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120" w:type="dxa"/>
            <w:vAlign w:val="bottom"/>
            <w:gridSpan w:val="4"/>
          </w:tcPr>
          <w:p>
            <w:pPr>
              <w:jc w:val="center"/>
              <w:ind w:right="400"/>
              <w:spacing w:after="0"/>
              <w:rPr>
                <w:sz w:val="20"/>
                <w:szCs w:val="20"/>
                <w:color w:val="auto"/>
              </w:rPr>
            </w:pPr>
            <w:r>
              <w:rPr>
                <w:rFonts w:ascii="Arial" w:cs="Arial" w:eastAsia="Arial" w:hAnsi="Arial"/>
                <w:sz w:val="16"/>
                <w:szCs w:val="16"/>
                <w:color w:val="auto"/>
                <w:w w:val="98"/>
              </w:rPr>
              <w:t>(In US$ million)</w:t>
            </w:r>
          </w:p>
        </w:tc>
        <w:tc>
          <w:tcPr>
            <w:tcW w:w="1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03"/>
        </w:trPr>
        <w:tc>
          <w:tcPr>
            <w:tcW w:w="2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gridSpan w:val="4"/>
          </w:tcPr>
          <w:p>
            <w:pPr>
              <w:jc w:val="center"/>
              <w:ind w:right="400"/>
              <w:spacing w:after="0"/>
              <w:rPr>
                <w:sz w:val="20"/>
                <w:szCs w:val="20"/>
                <w:color w:val="auto"/>
              </w:rPr>
            </w:pPr>
            <w:r>
              <w:rPr>
                <w:rFonts w:ascii="Arial" w:cs="Arial" w:eastAsia="Arial" w:hAnsi="Arial"/>
                <w:sz w:val="16"/>
                <w:szCs w:val="16"/>
                <w:color w:val="auto"/>
                <w:w w:val="95"/>
              </w:rPr>
              <w:t>AT THE END OF,</w:t>
            </w:r>
          </w:p>
        </w:tc>
        <w:tc>
          <w:tcPr>
            <w:tcW w:w="1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23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spacing w:after="0"/>
              <w:rPr>
                <w:sz w:val="20"/>
                <w:szCs w:val="20"/>
                <w:color w:val="auto"/>
              </w:rPr>
            </w:pPr>
            <w:r>
              <w:rPr>
                <w:rFonts w:ascii="Arial" w:cs="Arial" w:eastAsia="Arial" w:hAnsi="Arial"/>
                <w:sz w:val="16"/>
                <w:szCs w:val="16"/>
                <w:color w:val="auto"/>
              </w:rPr>
              <w:t>(A)</w:t>
            </w: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jc w:val="center"/>
              <w:spacing w:after="0"/>
              <w:rPr>
                <w:sz w:val="20"/>
                <w:szCs w:val="20"/>
                <w:color w:val="auto"/>
              </w:rPr>
            </w:pPr>
            <w:r>
              <w:rPr>
                <w:rFonts w:ascii="Arial" w:cs="Arial" w:eastAsia="Arial" w:hAnsi="Arial"/>
                <w:sz w:val="16"/>
                <w:szCs w:val="16"/>
                <w:color w:val="auto"/>
              </w:rPr>
              <w:t>(B)</w:t>
            </w: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jc w:val="right"/>
              <w:spacing w:after="0"/>
              <w:rPr>
                <w:sz w:val="20"/>
                <w:szCs w:val="20"/>
                <w:color w:val="auto"/>
              </w:rPr>
            </w:pPr>
            <w:r>
              <w:rPr>
                <w:rFonts w:ascii="Arial" w:cs="Arial" w:eastAsia="Arial" w:hAnsi="Arial"/>
                <w:sz w:val="16"/>
                <w:szCs w:val="16"/>
                <w:color w:val="auto"/>
                <w:w w:val="89"/>
              </w:rPr>
              <w:t>(C)</w:t>
            </w: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23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00" w:type="dxa"/>
            <w:vAlign w:val="bottom"/>
            <w:gridSpan w:val="4"/>
          </w:tcPr>
          <w:p>
            <w:pPr>
              <w:jc w:val="right"/>
              <w:ind w:right="700"/>
              <w:spacing w:after="0"/>
              <w:rPr>
                <w:sz w:val="20"/>
                <w:szCs w:val="20"/>
                <w:color w:val="auto"/>
              </w:rPr>
            </w:pPr>
            <w:r>
              <w:rPr>
                <w:rFonts w:ascii="Arial" w:cs="Arial" w:eastAsia="Arial" w:hAnsi="Arial"/>
                <w:sz w:val="16"/>
                <w:szCs w:val="16"/>
                <w:color w:val="auto"/>
              </w:rPr>
              <w:t>Jun. 30, 2021</w:t>
            </w: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120" w:type="dxa"/>
            <w:vAlign w:val="bottom"/>
            <w:gridSpan w:val="4"/>
          </w:tcPr>
          <w:p>
            <w:pPr>
              <w:jc w:val="center"/>
              <w:ind w:right="400"/>
              <w:spacing w:after="0"/>
              <w:rPr>
                <w:sz w:val="20"/>
                <w:szCs w:val="20"/>
                <w:color w:val="auto"/>
              </w:rPr>
            </w:pPr>
            <w:r>
              <w:rPr>
                <w:rFonts w:ascii="Arial" w:cs="Arial" w:eastAsia="Arial" w:hAnsi="Arial"/>
                <w:sz w:val="16"/>
                <w:szCs w:val="16"/>
                <w:color w:val="auto"/>
                <w:w w:val="93"/>
              </w:rPr>
              <w:t>Mar. 31, 2021</w:t>
            </w:r>
          </w:p>
        </w:tc>
        <w:tc>
          <w:tcPr>
            <w:tcW w:w="140" w:type="dxa"/>
            <w:vAlign w:val="bottom"/>
          </w:tcPr>
          <w:p>
            <w:pPr>
              <w:spacing w:after="0"/>
              <w:rPr>
                <w:sz w:val="17"/>
                <w:szCs w:val="17"/>
                <w:color w:val="auto"/>
              </w:rPr>
            </w:pPr>
          </w:p>
        </w:tc>
        <w:tc>
          <w:tcPr>
            <w:tcW w:w="2120" w:type="dxa"/>
            <w:vAlign w:val="bottom"/>
            <w:gridSpan w:val="4"/>
          </w:tcPr>
          <w:p>
            <w:pPr>
              <w:jc w:val="right"/>
              <w:ind w:right="820"/>
              <w:spacing w:after="0"/>
              <w:rPr>
                <w:sz w:val="20"/>
                <w:szCs w:val="20"/>
                <w:color w:val="auto"/>
              </w:rPr>
            </w:pPr>
            <w:r>
              <w:rPr>
                <w:rFonts w:ascii="Arial" w:cs="Arial" w:eastAsia="Arial" w:hAnsi="Arial"/>
                <w:sz w:val="16"/>
                <w:szCs w:val="16"/>
                <w:color w:val="auto"/>
              </w:rPr>
              <w:t>Jun. 30, 2020</w:t>
            </w:r>
          </w:p>
        </w:tc>
        <w:tc>
          <w:tcPr>
            <w:tcW w:w="120" w:type="dxa"/>
            <w:vAlign w:val="bottom"/>
          </w:tcPr>
          <w:p>
            <w:pPr>
              <w:spacing w:after="0"/>
              <w:rPr>
                <w:sz w:val="17"/>
                <w:szCs w:val="17"/>
                <w:color w:val="auto"/>
              </w:rPr>
            </w:pPr>
          </w:p>
        </w:tc>
        <w:tc>
          <w:tcPr>
            <w:tcW w:w="2000" w:type="dxa"/>
            <w:vAlign w:val="bottom"/>
            <w:gridSpan w:val="6"/>
          </w:tcPr>
          <w:p>
            <w:pPr>
              <w:jc w:val="right"/>
              <w:ind w:right="500"/>
              <w:spacing w:after="0"/>
              <w:rPr>
                <w:sz w:val="20"/>
                <w:szCs w:val="20"/>
                <w:color w:val="auto"/>
              </w:rPr>
            </w:pPr>
            <w:r>
              <w:rPr>
                <w:rFonts w:ascii="Arial" w:cs="Arial" w:eastAsia="Arial" w:hAnsi="Arial"/>
                <w:sz w:val="16"/>
                <w:szCs w:val="16"/>
                <w:color w:val="auto"/>
              </w:rPr>
              <w:t>Change in Amount</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23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jc w:val="right"/>
              <w:ind w:right="19"/>
              <w:spacing w:after="0" w:line="176" w:lineRule="exact"/>
              <w:rPr>
                <w:sz w:val="20"/>
                <w:szCs w:val="20"/>
                <w:color w:val="auto"/>
              </w:rPr>
            </w:pPr>
            <w:r>
              <w:rPr>
                <w:rFonts w:ascii="Arial" w:cs="Arial" w:eastAsia="Arial" w:hAnsi="Arial"/>
                <w:sz w:val="16"/>
                <w:szCs w:val="16"/>
                <w:color w:val="auto"/>
              </w:rPr>
              <w:t>% of Total</w:t>
            </w:r>
          </w:p>
        </w:tc>
        <w:tc>
          <w:tcPr>
            <w:tcW w:w="1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jc w:val="right"/>
              <w:ind w:right="19"/>
              <w:spacing w:after="0" w:line="176" w:lineRule="exact"/>
              <w:rPr>
                <w:sz w:val="20"/>
                <w:szCs w:val="20"/>
                <w:color w:val="auto"/>
              </w:rPr>
            </w:pPr>
            <w:r>
              <w:rPr>
                <w:rFonts w:ascii="Arial" w:cs="Arial" w:eastAsia="Arial" w:hAnsi="Arial"/>
                <w:sz w:val="16"/>
                <w:szCs w:val="16"/>
                <w:color w:val="auto"/>
              </w:rPr>
              <w:t>% of Total</w:t>
            </w:r>
          </w:p>
        </w:tc>
        <w:tc>
          <w:tcPr>
            <w:tcW w:w="26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jc w:val="right"/>
              <w:ind w:right="19"/>
              <w:spacing w:after="0" w:line="176" w:lineRule="exact"/>
              <w:rPr>
                <w:sz w:val="20"/>
                <w:szCs w:val="20"/>
                <w:color w:val="auto"/>
              </w:rPr>
            </w:pPr>
            <w:r>
              <w:rPr>
                <w:rFonts w:ascii="Arial" w:cs="Arial" w:eastAsia="Arial" w:hAnsi="Arial"/>
                <w:sz w:val="16"/>
                <w:szCs w:val="16"/>
                <w:color w:val="auto"/>
              </w:rPr>
              <w:t>% of Total</w:t>
            </w:r>
          </w:p>
        </w:tc>
        <w:tc>
          <w:tcPr>
            <w:tcW w:w="26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2360" w:type="dxa"/>
            <w:vAlign w:val="bottom"/>
            <w:gridSpan w:val="2"/>
          </w:tcPr>
          <w:p>
            <w:pPr>
              <w:spacing w:after="0"/>
              <w:rPr>
                <w:sz w:val="20"/>
                <w:szCs w:val="20"/>
                <w:color w:val="auto"/>
              </w:rPr>
            </w:pPr>
            <w:r>
              <w:rPr>
                <w:rFonts w:ascii="Arial" w:cs="Arial" w:eastAsia="Arial" w:hAnsi="Arial"/>
                <w:sz w:val="16"/>
                <w:szCs w:val="16"/>
                <w:color w:val="auto"/>
              </w:rPr>
              <w:t>COUNTRY</w:t>
            </w:r>
          </w:p>
        </w:tc>
        <w:tc>
          <w:tcPr>
            <w:tcW w:w="140" w:type="dxa"/>
            <w:vAlign w:val="bottom"/>
          </w:tcPr>
          <w:p>
            <w:pPr>
              <w:spacing w:after="0"/>
              <w:rPr>
                <w:sz w:val="17"/>
                <w:szCs w:val="17"/>
                <w:color w:val="auto"/>
              </w:rPr>
            </w:pPr>
          </w:p>
        </w:tc>
        <w:tc>
          <w:tcPr>
            <w:tcW w:w="980" w:type="dxa"/>
            <w:vAlign w:val="bottom"/>
            <w:gridSpan w:val="2"/>
          </w:tcPr>
          <w:p>
            <w:pPr>
              <w:jc w:val="right"/>
              <w:ind w:right="400"/>
              <w:spacing w:after="0"/>
              <w:rPr>
                <w:sz w:val="20"/>
                <w:szCs w:val="20"/>
                <w:color w:val="auto"/>
              </w:rPr>
            </w:pPr>
            <w:r>
              <w:rPr>
                <w:rFonts w:ascii="Arial" w:cs="Arial" w:eastAsia="Arial" w:hAnsi="Arial"/>
                <w:sz w:val="16"/>
                <w:szCs w:val="16"/>
                <w:color w:val="auto"/>
              </w:rPr>
              <w:t>Amount</w:t>
            </w:r>
          </w:p>
        </w:tc>
        <w:tc>
          <w:tcPr>
            <w:tcW w:w="1020" w:type="dxa"/>
            <w:vAlign w:val="bottom"/>
            <w:gridSpan w:val="2"/>
          </w:tcPr>
          <w:p>
            <w:pPr>
              <w:jc w:val="right"/>
              <w:ind w:right="180"/>
              <w:spacing w:after="0"/>
              <w:rPr>
                <w:sz w:val="20"/>
                <w:szCs w:val="20"/>
                <w:color w:val="auto"/>
              </w:rPr>
            </w:pPr>
            <w:r>
              <w:rPr>
                <w:rFonts w:ascii="Arial" w:cs="Arial" w:eastAsia="Arial" w:hAnsi="Arial"/>
                <w:sz w:val="16"/>
                <w:szCs w:val="16"/>
                <w:color w:val="auto"/>
                <w:w w:val="94"/>
              </w:rPr>
              <w:t>Outstanding</w:t>
            </w: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gridSpan w:val="2"/>
          </w:tcPr>
          <w:p>
            <w:pPr>
              <w:jc w:val="right"/>
              <w:ind w:right="319"/>
              <w:spacing w:after="0"/>
              <w:rPr>
                <w:sz w:val="20"/>
                <w:szCs w:val="20"/>
                <w:color w:val="auto"/>
              </w:rPr>
            </w:pPr>
            <w:r>
              <w:rPr>
                <w:rFonts w:ascii="Arial" w:cs="Arial" w:eastAsia="Arial" w:hAnsi="Arial"/>
                <w:sz w:val="16"/>
                <w:szCs w:val="16"/>
                <w:color w:val="auto"/>
              </w:rPr>
              <w:t>Amount</w:t>
            </w:r>
          </w:p>
        </w:tc>
        <w:tc>
          <w:tcPr>
            <w:tcW w:w="1140" w:type="dxa"/>
            <w:vAlign w:val="bottom"/>
            <w:gridSpan w:val="2"/>
          </w:tcPr>
          <w:p>
            <w:pPr>
              <w:jc w:val="right"/>
              <w:ind w:right="300"/>
              <w:spacing w:after="0"/>
              <w:rPr>
                <w:sz w:val="20"/>
                <w:szCs w:val="20"/>
                <w:color w:val="auto"/>
              </w:rPr>
            </w:pPr>
            <w:r>
              <w:rPr>
                <w:rFonts w:ascii="Arial" w:cs="Arial" w:eastAsia="Arial" w:hAnsi="Arial"/>
                <w:sz w:val="16"/>
                <w:szCs w:val="16"/>
                <w:color w:val="auto"/>
                <w:w w:val="94"/>
              </w:rPr>
              <w:t>Outstanding</w:t>
            </w:r>
          </w:p>
        </w:tc>
        <w:tc>
          <w:tcPr>
            <w:tcW w:w="140" w:type="dxa"/>
            <w:vAlign w:val="bottom"/>
          </w:tcPr>
          <w:p>
            <w:pPr>
              <w:spacing w:after="0"/>
              <w:rPr>
                <w:sz w:val="17"/>
                <w:szCs w:val="17"/>
                <w:color w:val="auto"/>
              </w:rPr>
            </w:pPr>
          </w:p>
        </w:tc>
        <w:tc>
          <w:tcPr>
            <w:tcW w:w="980" w:type="dxa"/>
            <w:vAlign w:val="bottom"/>
            <w:gridSpan w:val="2"/>
          </w:tcPr>
          <w:p>
            <w:pPr>
              <w:jc w:val="right"/>
              <w:ind w:right="319"/>
              <w:spacing w:after="0"/>
              <w:rPr>
                <w:sz w:val="20"/>
                <w:szCs w:val="20"/>
                <w:color w:val="auto"/>
              </w:rPr>
            </w:pPr>
            <w:r>
              <w:rPr>
                <w:rFonts w:ascii="Arial" w:cs="Arial" w:eastAsia="Arial" w:hAnsi="Arial"/>
                <w:sz w:val="16"/>
                <w:szCs w:val="16"/>
                <w:color w:val="auto"/>
              </w:rPr>
              <w:t>Amount</w:t>
            </w:r>
          </w:p>
        </w:tc>
        <w:tc>
          <w:tcPr>
            <w:tcW w:w="1140" w:type="dxa"/>
            <w:vAlign w:val="bottom"/>
            <w:gridSpan w:val="2"/>
          </w:tcPr>
          <w:p>
            <w:pPr>
              <w:jc w:val="right"/>
              <w:ind w:right="300"/>
              <w:spacing w:after="0"/>
              <w:rPr>
                <w:sz w:val="20"/>
                <w:szCs w:val="20"/>
                <w:color w:val="auto"/>
              </w:rPr>
            </w:pPr>
            <w:r>
              <w:rPr>
                <w:rFonts w:ascii="Arial" w:cs="Arial" w:eastAsia="Arial" w:hAnsi="Arial"/>
                <w:sz w:val="16"/>
                <w:szCs w:val="16"/>
                <w:color w:val="auto"/>
                <w:w w:val="94"/>
              </w:rPr>
              <w:t>Outstanding</w:t>
            </w:r>
          </w:p>
        </w:tc>
        <w:tc>
          <w:tcPr>
            <w:tcW w:w="120" w:type="dxa"/>
            <w:vAlign w:val="bottom"/>
          </w:tcPr>
          <w:p>
            <w:pPr>
              <w:spacing w:after="0"/>
              <w:rPr>
                <w:sz w:val="17"/>
                <w:szCs w:val="17"/>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6"/>
                <w:szCs w:val="16"/>
                <w:color w:val="auto"/>
              </w:rPr>
              <w:t>(A) - (B)</w:t>
            </w:r>
          </w:p>
        </w:tc>
        <w:tc>
          <w:tcPr>
            <w:tcW w:w="120" w:type="dxa"/>
            <w:vAlign w:val="bottom"/>
          </w:tcPr>
          <w:p>
            <w:pPr>
              <w:spacing w:after="0"/>
              <w:rPr>
                <w:sz w:val="17"/>
                <w:szCs w:val="17"/>
                <w:color w:val="auto"/>
              </w:rPr>
            </w:pPr>
          </w:p>
        </w:tc>
        <w:tc>
          <w:tcPr>
            <w:tcW w:w="900" w:type="dxa"/>
            <w:vAlign w:val="bottom"/>
            <w:gridSpan w:val="3"/>
          </w:tcPr>
          <w:p>
            <w:pPr>
              <w:jc w:val="right"/>
              <w:ind w:right="280"/>
              <w:spacing w:after="0"/>
              <w:rPr>
                <w:sz w:val="20"/>
                <w:szCs w:val="20"/>
                <w:color w:val="auto"/>
              </w:rPr>
            </w:pPr>
            <w:r>
              <w:rPr>
                <w:rFonts w:ascii="Arial" w:cs="Arial" w:eastAsia="Arial" w:hAnsi="Arial"/>
                <w:sz w:val="16"/>
                <w:szCs w:val="16"/>
                <w:color w:val="auto"/>
              </w:rPr>
              <w:t>(A) - (C)</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340" w:type="dxa"/>
            <w:vAlign w:val="bottom"/>
            <w:vMerge w:val="restart"/>
            <w:shd w:val="clear" w:color="auto" w:fill="CCEEFF"/>
          </w:tcPr>
          <w:p>
            <w:pPr>
              <w:spacing w:after="0"/>
              <w:rPr>
                <w:sz w:val="20"/>
                <w:szCs w:val="20"/>
                <w:color w:val="auto"/>
              </w:rPr>
            </w:pPr>
            <w:r>
              <w:rPr>
                <w:rFonts w:ascii="Arial" w:cs="Arial" w:eastAsia="Arial" w:hAnsi="Arial"/>
                <w:sz w:val="16"/>
                <w:szCs w:val="16"/>
                <w:color w:val="auto"/>
              </w:rPr>
              <w:t>ARGENTINA</w:t>
            </w:r>
          </w:p>
        </w:tc>
        <w:tc>
          <w:tcPr>
            <w:tcW w:w="1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80" w:type="dxa"/>
            <w:vAlign w:val="bottom"/>
            <w:tcBorders>
              <w:left w:val="single" w:sz="8" w:color="auto"/>
            </w:tcBorders>
            <w:shd w:val="clear" w:color="auto" w:fill="000000"/>
          </w:tcPr>
          <w:p>
            <w:pPr>
              <w:spacing w:after="0" w:line="20" w:lineRule="exact"/>
              <w:rPr>
                <w:sz w:val="1"/>
                <w:szCs w:val="1"/>
                <w:color w:val="auto"/>
              </w:rPr>
            </w:pPr>
          </w:p>
        </w:tc>
        <w:tc>
          <w:tcPr>
            <w:tcW w:w="14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Borders>
              <w:right w:val="single" w:sz="8" w:color="CCEEFF"/>
            </w:tcBorders>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vMerge w:val="restart"/>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gridSpan w:val="2"/>
            <w:vMerge w:val="restart"/>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8"/>
        </w:trPr>
        <w:tc>
          <w:tcPr>
            <w:tcW w:w="20" w:type="dxa"/>
            <w:vAlign w:val="bottom"/>
          </w:tcPr>
          <w:p>
            <w:pPr>
              <w:spacing w:after="0"/>
              <w:rPr>
                <w:sz w:val="16"/>
                <w:szCs w:val="16"/>
                <w:color w:val="auto"/>
              </w:rPr>
            </w:pPr>
          </w:p>
        </w:tc>
        <w:tc>
          <w:tcPr>
            <w:tcW w:w="2340" w:type="dxa"/>
            <w:vAlign w:val="bottom"/>
            <w:vMerge w:val="continue"/>
            <w:shd w:val="clear" w:color="auto" w:fill="CCEEFF"/>
          </w:tcPr>
          <w:p>
            <w:pPr>
              <w:spacing w:after="0"/>
              <w:rPr>
                <w:sz w:val="16"/>
                <w:szCs w:val="16"/>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w:t>
            </w:r>
          </w:p>
        </w:tc>
        <w:tc>
          <w:tcPr>
            <w:tcW w:w="220" w:type="dxa"/>
            <w:vAlign w:val="bottom"/>
            <w:vMerge w:val="continue"/>
            <w:shd w:val="clear" w:color="auto" w:fill="CCEEFF"/>
          </w:tcPr>
          <w:p>
            <w:pPr>
              <w:spacing w:after="0"/>
              <w:rPr>
                <w:sz w:val="16"/>
                <w:szCs w:val="16"/>
                <w:color w:val="auto"/>
              </w:rPr>
            </w:pPr>
          </w:p>
        </w:tc>
        <w:tc>
          <w:tcPr>
            <w:tcW w:w="88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140" w:type="dxa"/>
            <w:vAlign w:val="bottom"/>
            <w:vMerge w:val="continue"/>
            <w:shd w:val="clear" w:color="auto" w:fill="CCEEFF"/>
          </w:tcPr>
          <w:p>
            <w:pPr>
              <w:spacing w:after="0"/>
              <w:rPr>
                <w:sz w:val="16"/>
                <w:szCs w:val="16"/>
                <w:color w:val="auto"/>
              </w:rPr>
            </w:pPr>
          </w:p>
        </w:tc>
        <w:tc>
          <w:tcPr>
            <w:tcW w:w="120" w:type="dxa"/>
            <w:vAlign w:val="bottom"/>
            <w:vMerge w:val="continue"/>
            <w:shd w:val="clear" w:color="auto" w:fill="CCEEFF"/>
          </w:tcPr>
          <w:p>
            <w:pPr>
              <w:spacing w:after="0"/>
              <w:rPr>
                <w:sz w:val="16"/>
                <w:szCs w:val="16"/>
                <w:color w:val="auto"/>
              </w:rPr>
            </w:pPr>
          </w:p>
        </w:tc>
        <w:tc>
          <w:tcPr>
            <w:tcW w:w="140" w:type="dxa"/>
            <w:vAlign w:val="bottom"/>
            <w:shd w:val="clear" w:color="auto" w:fill="CCEEFF"/>
          </w:tcPr>
          <w:p>
            <w:pPr>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w:t>
            </w:r>
          </w:p>
        </w:tc>
        <w:tc>
          <w:tcPr>
            <w:tcW w:w="220" w:type="dxa"/>
            <w:vAlign w:val="bottom"/>
            <w:vMerge w:val="continue"/>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260" w:type="dxa"/>
            <w:vAlign w:val="bottom"/>
            <w:tcBorders>
              <w:right w:val="single" w:sz="8" w:color="CCEEFF"/>
            </w:tcBorders>
            <w:vMerge w:val="continue"/>
            <w:shd w:val="clear" w:color="auto" w:fill="CCEEFF"/>
          </w:tcPr>
          <w:p>
            <w:pPr>
              <w:spacing w:after="0"/>
              <w:rPr>
                <w:sz w:val="16"/>
                <w:szCs w:val="16"/>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180</w:t>
            </w:r>
          </w:p>
        </w:tc>
        <w:tc>
          <w:tcPr>
            <w:tcW w:w="220" w:type="dxa"/>
            <w:vAlign w:val="bottom"/>
            <w:vMerge w:val="continue"/>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w:t>
            </w:r>
          </w:p>
        </w:tc>
        <w:tc>
          <w:tcPr>
            <w:tcW w:w="260" w:type="dxa"/>
            <w:vAlign w:val="bottom"/>
            <w:vMerge w:val="continue"/>
            <w:shd w:val="clear" w:color="auto" w:fill="CCEEFF"/>
          </w:tcPr>
          <w:p>
            <w:pPr>
              <w:spacing w:after="0"/>
              <w:rPr>
                <w:sz w:val="16"/>
                <w:szCs w:val="16"/>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(74)</w:t>
            </w:r>
          </w:p>
        </w:tc>
        <w:tc>
          <w:tcPr>
            <w:tcW w:w="120" w:type="dxa"/>
            <w:vAlign w:val="bottom"/>
            <w:gridSpan w:val="2"/>
            <w:vMerge w:val="continue"/>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BOLIVIA</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15</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15</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8</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7</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1,207</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20</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1,159</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20</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800</w:t>
            </w: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48</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407</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CHILE</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623</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10</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604</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11</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474</w:t>
            </w:r>
          </w:p>
        </w:tc>
        <w:tc>
          <w:tcPr>
            <w:tcW w:w="880" w:type="dxa"/>
            <w:vAlign w:val="bottom"/>
          </w:tcPr>
          <w:p>
            <w:pPr>
              <w:jc w:val="right"/>
              <w:spacing w:after="0"/>
              <w:rPr>
                <w:sz w:val="20"/>
                <w:szCs w:val="20"/>
                <w:color w:val="auto"/>
              </w:rPr>
            </w:pPr>
            <w:r>
              <w:rPr>
                <w:rFonts w:ascii="Arial" w:cs="Arial" w:eastAsia="Arial" w:hAnsi="Arial"/>
                <w:sz w:val="16"/>
                <w:szCs w:val="16"/>
                <w:color w:val="auto"/>
              </w:rPr>
              <w:t>10</w:t>
            </w: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19</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149</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706</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704</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12</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776</w:t>
            </w: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(70)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COSTA RICA</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184</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3</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191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3</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221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(7)</w:t>
            </w:r>
          </w:p>
        </w:tc>
        <w:tc>
          <w:tcPr>
            <w:tcW w:w="120" w:type="dxa"/>
            <w:vAlign w:val="bottom"/>
          </w:tcPr>
          <w:p>
            <w:pPr>
              <w:spacing w:after="0"/>
              <w:rPr>
                <w:sz w:val="16"/>
                <w:szCs w:val="16"/>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(37)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311</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205</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4</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137</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106</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174</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ECUADOR</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258</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212</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191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46</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67</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34</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31</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w:t>
            </w:r>
          </w:p>
        </w:tc>
        <w:tc>
          <w:tcPr>
            <w:tcW w:w="1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62</w:t>
            </w:r>
          </w:p>
        </w:tc>
        <w:tc>
          <w:tcPr>
            <w:tcW w:w="22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(28)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GUATEMALA</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418</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7</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338</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304</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80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114</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37</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20</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0</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108</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17</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(71)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JAMAICA</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36</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1</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46</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1</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11</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(10)</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25</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628</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549</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10</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462</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9</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79</w:t>
            </w:r>
          </w:p>
        </w:tc>
        <w:tc>
          <w:tcPr>
            <w:tcW w:w="1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166</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PANAMA</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258</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314</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369</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8</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(56)</w:t>
            </w:r>
          </w:p>
        </w:tc>
        <w:tc>
          <w:tcPr>
            <w:tcW w:w="120" w:type="dxa"/>
            <w:vAlign w:val="bottom"/>
          </w:tcPr>
          <w:p>
            <w:pPr>
              <w:spacing w:after="0"/>
              <w:rPr>
                <w:sz w:val="16"/>
                <w:szCs w:val="16"/>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(111)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61</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128</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22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(67)</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(35)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PERU</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347</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369</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6</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178</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6"/>
                <w:szCs w:val="16"/>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6"/>
                <w:szCs w:val="16"/>
                <w:color w:val="auto"/>
              </w:rPr>
              <w:t>(22)</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169</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TRINIDAD &amp; TOBAGO</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140</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w:t>
            </w: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152</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w:t>
            </w: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179</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4</w:t>
            </w:r>
          </w:p>
        </w:tc>
        <w:tc>
          <w:tcPr>
            <w:tcW w:w="1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6"/>
                <w:szCs w:val="16"/>
                <w:color w:val="auto"/>
              </w:rPr>
            </w:pP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6"/>
                <w:szCs w:val="16"/>
                <w:color w:val="auto"/>
              </w:rPr>
              <w:t>(39)</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spacing w:after="0"/>
              <w:rPr>
                <w:sz w:val="20"/>
                <w:szCs w:val="20"/>
                <w:color w:val="auto"/>
              </w:rPr>
            </w:pPr>
            <w:r>
              <w:rPr>
                <w:rFonts w:ascii="Arial" w:cs="Arial" w:eastAsia="Arial" w:hAnsi="Arial"/>
                <w:sz w:val="16"/>
                <w:szCs w:val="16"/>
                <w:color w:val="auto"/>
              </w:rPr>
              <w:t>URUGUAY</w:t>
            </w:r>
          </w:p>
        </w:tc>
        <w:tc>
          <w:tcPr>
            <w:tcW w:w="14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110</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2</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97</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2</w:t>
            </w:r>
          </w:p>
        </w:tc>
        <w:tc>
          <w:tcPr>
            <w:tcW w:w="140" w:type="dxa"/>
            <w:vAlign w:val="bottom"/>
          </w:tcPr>
          <w:p>
            <w:pPr>
              <w:spacing w:after="0"/>
              <w:rPr>
                <w:sz w:val="16"/>
                <w:szCs w:val="16"/>
                <w:color w:val="auto"/>
              </w:rPr>
            </w:pP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0</w:t>
            </w:r>
          </w:p>
        </w:tc>
        <w:tc>
          <w:tcPr>
            <w:tcW w:w="11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13</w:t>
            </w:r>
          </w:p>
        </w:tc>
        <w:tc>
          <w:tcPr>
            <w:tcW w:w="12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110</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2340" w:type="dxa"/>
            <w:vAlign w:val="bottom"/>
            <w:shd w:val="clear" w:color="auto" w:fill="CCEEFF"/>
          </w:tcPr>
          <w:p>
            <w:pPr>
              <w:spacing w:after="0" w:line="244" w:lineRule="exact"/>
              <w:rPr>
                <w:sz w:val="20"/>
                <w:szCs w:val="20"/>
                <w:color w:val="auto"/>
              </w:rPr>
            </w:pPr>
            <w:r>
              <w:rPr>
                <w:rFonts w:ascii="Arial" w:cs="Arial" w:eastAsia="Arial" w:hAnsi="Arial"/>
                <w:sz w:val="16"/>
                <w:szCs w:val="16"/>
                <w:color w:val="auto"/>
              </w:rPr>
              <w:t xml:space="preserve">OTHER NON-LATAM </w:t>
            </w:r>
            <w:r>
              <w:rPr>
                <w:rFonts w:ascii="Arial" w:cs="Arial" w:eastAsia="Arial" w:hAnsi="Arial"/>
                <w:sz w:val="27"/>
                <w:szCs w:val="27"/>
                <w:color w:val="auto"/>
                <w:vertAlign w:val="superscript"/>
              </w:rPr>
              <w:t>(1)</w:t>
            </w:r>
          </w:p>
        </w:tc>
        <w:tc>
          <w:tcPr>
            <w:tcW w:w="14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529</w:t>
            </w:r>
          </w:p>
        </w:tc>
        <w:tc>
          <w:tcPr>
            <w:tcW w:w="1020" w:type="dxa"/>
            <w:vAlign w:val="bottom"/>
            <w:tcBorders>
              <w:lef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w:t>
            </w:r>
          </w:p>
        </w:tc>
        <w:tc>
          <w:tcPr>
            <w:tcW w:w="12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466</w:t>
            </w:r>
          </w:p>
        </w:tc>
        <w:tc>
          <w:tcPr>
            <w:tcW w:w="114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8</w:t>
            </w:r>
          </w:p>
        </w:tc>
        <w:tc>
          <w:tcPr>
            <w:tcW w:w="14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359</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7</w:t>
            </w:r>
          </w:p>
        </w:tc>
        <w:tc>
          <w:tcPr>
            <w:tcW w:w="12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63</w:t>
            </w:r>
          </w:p>
        </w:tc>
        <w:tc>
          <w:tcPr>
            <w:tcW w:w="120" w:type="dxa"/>
            <w:vAlign w:val="bottom"/>
            <w:shd w:val="clear" w:color="auto" w:fill="CCEEFF"/>
          </w:tcPr>
          <w:p>
            <w:pPr>
              <w:spacing w:after="0"/>
              <w:rPr>
                <w:sz w:val="21"/>
                <w:szCs w:val="21"/>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170</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234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5"/>
        </w:trPr>
        <w:tc>
          <w:tcPr>
            <w:tcW w:w="20" w:type="dxa"/>
            <w:vAlign w:val="bottom"/>
            <w:vMerge w:val="continue"/>
          </w:tcPr>
          <w:p>
            <w:pPr>
              <w:spacing w:after="0"/>
              <w:rPr>
                <w:sz w:val="16"/>
                <w:szCs w:val="16"/>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6"/>
                <w:szCs w:val="16"/>
                <w:color w:val="auto"/>
              </w:rPr>
              <w:t>TOTAL COMMERCIAL</w:t>
            </w:r>
          </w:p>
        </w:tc>
        <w:tc>
          <w:tcPr>
            <w:tcW w:w="14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tcBorders>
              <w:left w:val="single" w:sz="8" w:color="CCEEFF"/>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60" w:type="dxa"/>
            <w:vAlign w:val="bottom"/>
            <w:tcBorders>
              <w:right w:val="single" w:sz="8" w:color="CCEEFF"/>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2340" w:type="dxa"/>
            <w:vAlign w:val="bottom"/>
            <w:shd w:val="clear" w:color="auto" w:fill="CCEEFF"/>
          </w:tcPr>
          <w:p>
            <w:pPr>
              <w:ind w:left="120"/>
              <w:spacing w:after="0" w:line="242" w:lineRule="exact"/>
              <w:rPr>
                <w:sz w:val="20"/>
                <w:szCs w:val="20"/>
                <w:color w:val="auto"/>
              </w:rPr>
            </w:pPr>
            <w:r>
              <w:rPr>
                <w:rFonts w:ascii="Arial" w:cs="Arial" w:eastAsia="Arial" w:hAnsi="Arial"/>
                <w:sz w:val="16"/>
                <w:szCs w:val="16"/>
                <w:color w:val="auto"/>
              </w:rPr>
              <w:t xml:space="preserve">PORTFOLIO </w:t>
            </w:r>
            <w:r>
              <w:rPr>
                <w:rFonts w:ascii="Arial" w:cs="Arial" w:eastAsia="Arial" w:hAnsi="Arial"/>
                <w:sz w:val="27"/>
                <w:szCs w:val="27"/>
                <w:color w:val="auto"/>
                <w:vertAlign w:val="superscript"/>
              </w:rPr>
              <w:t>(2)</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6,008</w:t>
            </w:r>
          </w:p>
        </w:tc>
        <w:tc>
          <w:tcPr>
            <w:tcW w:w="102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color w:val="auto"/>
              </w:rPr>
              <w:t>100%</w:t>
            </w:r>
          </w:p>
        </w:tc>
        <w:tc>
          <w:tcPr>
            <w:tcW w:w="260" w:type="dxa"/>
            <w:vAlign w:val="bottom"/>
            <w:gridSpan w:val="2"/>
            <w:shd w:val="clear" w:color="auto" w:fill="CCEEFF"/>
          </w:tcPr>
          <w:p>
            <w:pPr>
              <w:ind w:left="120"/>
              <w:spacing w:after="0"/>
              <w:rPr>
                <w:sz w:val="20"/>
                <w:szCs w:val="20"/>
                <w:color w:val="auto"/>
              </w:rPr>
            </w:pPr>
            <w:r>
              <w:rPr>
                <w:rFonts w:ascii="Arial" w:cs="Arial" w:eastAsia="Arial" w:hAnsi="Arial"/>
                <w:sz w:val="16"/>
                <w:szCs w:val="16"/>
                <w:color w:val="auto"/>
              </w:rPr>
              <w:t>$</w:t>
            </w:r>
          </w:p>
        </w:tc>
        <w:tc>
          <w:tcPr>
            <w:tcW w:w="98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5,708</w:t>
            </w:r>
          </w:p>
        </w:tc>
        <w:tc>
          <w:tcPr>
            <w:tcW w:w="1140" w:type="dxa"/>
            <w:vAlign w:val="bottom"/>
            <w:tcBorders>
              <w:right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100%</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4,915</w:t>
            </w:r>
          </w:p>
        </w:tc>
        <w:tc>
          <w:tcPr>
            <w:tcW w:w="22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100%</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300</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1,093</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23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2340" w:type="dxa"/>
            <w:vAlign w:val="bottom"/>
            <w:shd w:val="clear" w:color="auto" w:fill="CCEEFF"/>
          </w:tcPr>
          <w:p>
            <w:pPr>
              <w:spacing w:after="0" w:line="183" w:lineRule="exact"/>
              <w:rPr>
                <w:sz w:val="20"/>
                <w:szCs w:val="20"/>
                <w:color w:val="auto"/>
              </w:rPr>
            </w:pPr>
            <w:r>
              <w:rPr>
                <w:rFonts w:ascii="Arial" w:cs="Arial" w:eastAsia="Arial" w:hAnsi="Arial"/>
                <w:sz w:val="16"/>
                <w:szCs w:val="16"/>
                <w:color w:val="auto"/>
              </w:rPr>
              <w:t>UNEARNED INTEREST AND</w:t>
            </w:r>
          </w:p>
        </w:tc>
        <w:tc>
          <w:tcPr>
            <w:tcW w:w="14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80" w:type="dxa"/>
            <w:vAlign w:val="bottom"/>
            <w:tcBorders>
              <w:left w:val="single" w:sz="8" w:color="CCEEFF"/>
            </w:tcBorders>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60" w:type="dxa"/>
            <w:vAlign w:val="bottom"/>
            <w:tcBorders>
              <w:right w:val="single" w:sz="8" w:color="CCEEFF"/>
            </w:tcBorders>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2340" w:type="dxa"/>
            <w:vAlign w:val="bottom"/>
            <w:shd w:val="clear" w:color="auto" w:fill="CCEEFF"/>
          </w:tcPr>
          <w:p>
            <w:pPr>
              <w:ind w:left="120"/>
              <w:spacing w:after="0"/>
              <w:rPr>
                <w:sz w:val="20"/>
                <w:szCs w:val="20"/>
                <w:color w:val="auto"/>
              </w:rPr>
            </w:pPr>
            <w:r>
              <w:rPr>
                <w:rFonts w:ascii="Arial" w:cs="Arial" w:eastAsia="Arial" w:hAnsi="Arial"/>
                <w:sz w:val="16"/>
                <w:szCs w:val="16"/>
                <w:color w:val="auto"/>
              </w:rPr>
              <w:t>DEFERRED FEES</w:t>
            </w:r>
          </w:p>
        </w:tc>
        <w:tc>
          <w:tcPr>
            <w:tcW w:w="14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(7)</w:t>
            </w:r>
          </w:p>
        </w:tc>
        <w:tc>
          <w:tcPr>
            <w:tcW w:w="880" w:type="dxa"/>
            <w:vAlign w:val="bottom"/>
            <w:tcBorders>
              <w:lef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99"/>
              <w:spacing w:after="0"/>
              <w:rPr>
                <w:sz w:val="20"/>
                <w:szCs w:val="20"/>
                <w:color w:val="auto"/>
              </w:rPr>
            </w:pPr>
            <w:r>
              <w:rPr>
                <w:rFonts w:ascii="Arial" w:cs="Arial" w:eastAsia="Arial" w:hAnsi="Arial"/>
                <w:sz w:val="16"/>
                <w:szCs w:val="16"/>
                <w:color w:val="auto"/>
              </w:rPr>
              <w:t>(6)</w:t>
            </w:r>
          </w:p>
        </w:tc>
        <w:tc>
          <w:tcPr>
            <w:tcW w:w="88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99"/>
              <w:spacing w:after="0"/>
              <w:rPr>
                <w:sz w:val="20"/>
                <w:szCs w:val="20"/>
                <w:color w:val="auto"/>
              </w:rPr>
            </w:pPr>
            <w:r>
              <w:rPr>
                <w:rFonts w:ascii="Arial" w:cs="Arial" w:eastAsia="Arial" w:hAnsi="Arial"/>
                <w:sz w:val="16"/>
                <w:szCs w:val="16"/>
                <w:color w:val="auto"/>
              </w:rPr>
              <w:t>(8)</w:t>
            </w:r>
          </w:p>
        </w:tc>
        <w:tc>
          <w:tcPr>
            <w:tcW w:w="8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370"/>
        </w:trPr>
        <w:tc>
          <w:tcPr>
            <w:tcW w:w="2360" w:type="dxa"/>
            <w:vAlign w:val="bottom"/>
            <w:gridSpan w:val="2"/>
          </w:tcPr>
          <w:p>
            <w:pPr>
              <w:spacing w:after="0"/>
              <w:rPr>
                <w:sz w:val="20"/>
                <w:szCs w:val="20"/>
                <w:color w:val="auto"/>
              </w:rPr>
            </w:pPr>
            <w:r>
              <w:rPr>
                <w:rFonts w:ascii="Arial" w:cs="Arial" w:eastAsia="Arial" w:hAnsi="Arial"/>
                <w:sz w:val="16"/>
                <w:szCs w:val="16"/>
                <w:color w:val="auto"/>
              </w:rPr>
              <w:t>TOTAL COMMERCIAL</w:t>
            </w:r>
          </w:p>
        </w:tc>
        <w:tc>
          <w:tcPr>
            <w:tcW w:w="14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ind w:left="120"/>
              <w:spacing w:after="0"/>
              <w:rPr>
                <w:sz w:val="20"/>
                <w:szCs w:val="20"/>
                <w:color w:val="auto"/>
              </w:rPr>
            </w:pPr>
            <w:r>
              <w:rPr>
                <w:rFonts w:ascii="Arial" w:cs="Arial" w:eastAsia="Arial" w:hAnsi="Arial"/>
                <w:sz w:val="16"/>
                <w:szCs w:val="16"/>
                <w:color w:val="auto"/>
              </w:rPr>
              <w:t>PORTFOLIO, NET OF</w:t>
            </w: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2340" w:type="dxa"/>
            <w:vAlign w:val="bottom"/>
          </w:tcPr>
          <w:p>
            <w:pPr>
              <w:ind w:left="120"/>
              <w:spacing w:after="0"/>
              <w:rPr>
                <w:sz w:val="20"/>
                <w:szCs w:val="20"/>
                <w:color w:val="auto"/>
              </w:rPr>
            </w:pPr>
            <w:r>
              <w:rPr>
                <w:rFonts w:ascii="Arial" w:cs="Arial" w:eastAsia="Arial" w:hAnsi="Arial"/>
                <w:sz w:val="16"/>
                <w:szCs w:val="16"/>
                <w:color w:val="auto"/>
              </w:rPr>
              <w:t>UNEARNED INTEREST &amp;</w:t>
            </w: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2340" w:type="dxa"/>
            <w:vAlign w:val="bottom"/>
          </w:tcPr>
          <w:p>
            <w:pPr>
              <w:ind w:left="120"/>
              <w:spacing w:after="0"/>
              <w:rPr>
                <w:sz w:val="20"/>
                <w:szCs w:val="20"/>
                <w:color w:val="auto"/>
              </w:rPr>
            </w:pPr>
            <w:r>
              <w:rPr>
                <w:rFonts w:ascii="Arial" w:cs="Arial" w:eastAsia="Arial" w:hAnsi="Arial"/>
                <w:sz w:val="16"/>
                <w:szCs w:val="16"/>
                <w:color w:val="auto"/>
              </w:rPr>
              <w:t>DEFERRED FEES</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6,001</w:t>
            </w:r>
          </w:p>
        </w:tc>
        <w:tc>
          <w:tcPr>
            <w:tcW w:w="8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60" w:type="dxa"/>
            <w:vAlign w:val="bottom"/>
            <w:gridSpan w:val="2"/>
          </w:tcPr>
          <w:p>
            <w:pPr>
              <w:ind w:left="120"/>
              <w:spacing w:after="0"/>
              <w:rPr>
                <w:sz w:val="20"/>
                <w:szCs w:val="20"/>
                <w:color w:val="auto"/>
              </w:rPr>
            </w:pPr>
            <w:r>
              <w:rPr>
                <w:rFonts w:ascii="Arial" w:cs="Arial" w:eastAsia="Arial" w:hAnsi="Arial"/>
                <w:sz w:val="16"/>
                <w:szCs w:val="16"/>
                <w:color w:val="auto"/>
              </w:rPr>
              <w:t>$</w:t>
            </w:r>
          </w:p>
        </w:tc>
        <w:tc>
          <w:tcPr>
            <w:tcW w:w="980" w:type="dxa"/>
            <w:vAlign w:val="bottom"/>
            <w:gridSpan w:val="2"/>
          </w:tcPr>
          <w:p>
            <w:pPr>
              <w:jc w:val="right"/>
              <w:ind w:right="139"/>
              <w:spacing w:after="0"/>
              <w:rPr>
                <w:sz w:val="20"/>
                <w:szCs w:val="20"/>
                <w:color w:val="auto"/>
              </w:rPr>
            </w:pPr>
            <w:r>
              <w:rPr>
                <w:rFonts w:ascii="Arial" w:cs="Arial" w:eastAsia="Arial" w:hAnsi="Arial"/>
                <w:sz w:val="16"/>
                <w:szCs w:val="16"/>
                <w:color w:val="auto"/>
              </w:rPr>
              <w:t>5,702</w:t>
            </w: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760" w:type="dxa"/>
            <w:vAlign w:val="bottom"/>
          </w:tcPr>
          <w:p>
            <w:pPr>
              <w:jc w:val="right"/>
              <w:spacing w:after="0"/>
              <w:rPr>
                <w:sz w:val="20"/>
                <w:szCs w:val="20"/>
                <w:color w:val="auto"/>
              </w:rPr>
            </w:pPr>
            <w:r>
              <w:rPr>
                <w:rFonts w:ascii="Arial" w:cs="Arial" w:eastAsia="Arial" w:hAnsi="Arial"/>
                <w:sz w:val="16"/>
                <w:szCs w:val="16"/>
                <w:color w:val="auto"/>
              </w:rPr>
              <w:t>4,907</w:t>
            </w: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200"/>
              <w:spacing w:after="0"/>
              <w:rPr>
                <w:sz w:val="20"/>
                <w:szCs w:val="20"/>
                <w:color w:val="auto"/>
              </w:rPr>
            </w:pPr>
            <w:r>
              <w:rPr>
                <w:rFonts w:ascii="Arial" w:cs="Arial" w:eastAsia="Arial" w:hAnsi="Arial"/>
                <w:sz w:val="16"/>
                <w:szCs w:val="16"/>
                <w:color w:val="auto"/>
              </w:rPr>
              <w:t>299</w:t>
            </w: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1,094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181" w:lineRule="exact"/>
        <w:rPr>
          <w:sz w:val="20"/>
          <w:szCs w:val="20"/>
          <w:color w:val="auto"/>
        </w:rPr>
      </w:pPr>
    </w:p>
    <w:p>
      <w:pPr>
        <w:ind w:left="302" w:hanging="302"/>
        <w:spacing w:after="0"/>
        <w:tabs>
          <w:tab w:leader="none" w:pos="302" w:val="left"/>
        </w:tabs>
        <w:numPr>
          <w:ilvl w:val="0"/>
          <w:numId w:val="10"/>
        </w:numPr>
        <w:rPr>
          <w:rFonts w:ascii="Arial" w:cs="Arial" w:eastAsia="Arial" w:hAnsi="Arial"/>
          <w:sz w:val="27"/>
          <w:szCs w:val="27"/>
          <w:color w:val="auto"/>
          <w:vertAlign w:val="superscript"/>
        </w:rPr>
      </w:pPr>
      <w:r>
        <w:rPr>
          <w:rFonts w:ascii="Arial" w:cs="Arial" w:eastAsia="Arial" w:hAnsi="Arial"/>
          <w:sz w:val="16"/>
          <w:szCs w:val="16"/>
          <w:color w:val="auto"/>
        </w:rPr>
        <w:t>Risk in highly rated countries outside the Region, mostly in Europe and North America, related to transactions carried out in the Region.</w:t>
      </w:r>
    </w:p>
    <w:p>
      <w:pPr>
        <w:spacing w:after="0" w:line="2" w:lineRule="exact"/>
        <w:rPr>
          <w:rFonts w:ascii="Arial" w:cs="Arial" w:eastAsia="Arial" w:hAnsi="Arial"/>
          <w:sz w:val="27"/>
          <w:szCs w:val="27"/>
          <w:color w:val="auto"/>
          <w:vertAlign w:val="superscript"/>
        </w:rPr>
      </w:pPr>
    </w:p>
    <w:p>
      <w:pPr>
        <w:ind w:left="302" w:right="20" w:hanging="302"/>
        <w:spacing w:after="0" w:line="188" w:lineRule="auto"/>
        <w:tabs>
          <w:tab w:leader="none" w:pos="302" w:val="left"/>
        </w:tabs>
        <w:numPr>
          <w:ilvl w:val="0"/>
          <w:numId w:val="10"/>
        </w:numPr>
        <w:rPr>
          <w:rFonts w:ascii="Arial" w:cs="Arial" w:eastAsia="Arial" w:hAnsi="Arial"/>
          <w:sz w:val="27"/>
          <w:szCs w:val="27"/>
          <w:color w:val="auto"/>
          <w:vertAlign w:val="superscript"/>
        </w:rPr>
      </w:pPr>
      <w:r>
        <w:rPr>
          <w:rFonts w:ascii="Arial" w:cs="Arial" w:eastAsia="Arial" w:hAnsi="Arial"/>
          <w:sz w:val="16"/>
          <w:szCs w:val="16"/>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38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4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gridSpan w:val="3"/>
          </w:tcPr>
          <w:p>
            <w:pPr>
              <w:jc w:val="right"/>
              <w:spacing w:after="0"/>
              <w:rPr>
                <w:sz w:val="20"/>
                <w:szCs w:val="20"/>
                <w:color w:val="auto"/>
              </w:rPr>
            </w:pPr>
            <w:r>
              <w:rPr>
                <w:rFonts w:ascii="Arial" w:cs="Arial" w:eastAsia="Arial" w:hAnsi="Arial"/>
                <w:sz w:val="16"/>
                <w:szCs w:val="16"/>
                <w:color w:val="auto"/>
              </w:rPr>
              <w:t>EXHIBIT X</w:t>
            </w:r>
          </w:p>
        </w:tc>
        <w:tc>
          <w:tcPr>
            <w:tcW w:w="0" w:type="dxa"/>
            <w:vAlign w:val="bottom"/>
          </w:tcPr>
          <w:p>
            <w:pPr>
              <w:spacing w:after="0"/>
              <w:rPr>
                <w:sz w:val="1"/>
                <w:szCs w:val="1"/>
                <w:color w:val="auto"/>
              </w:rPr>
            </w:pPr>
          </w:p>
        </w:tc>
      </w:tr>
      <w:tr>
        <w:trPr>
          <w:trHeight w:val="379"/>
        </w:trPr>
        <w:tc>
          <w:tcPr>
            <w:tcW w:w="40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20" w:type="dxa"/>
            <w:vAlign w:val="bottom"/>
            <w:gridSpan w:val="7"/>
          </w:tcPr>
          <w:p>
            <w:pPr>
              <w:jc w:val="center"/>
              <w:ind w:left="259"/>
              <w:spacing w:after="0"/>
              <w:rPr>
                <w:sz w:val="20"/>
                <w:szCs w:val="20"/>
                <w:color w:val="auto"/>
              </w:rPr>
            </w:pPr>
            <w:r>
              <w:rPr>
                <w:rFonts w:ascii="Arial" w:cs="Arial" w:eastAsia="Arial" w:hAnsi="Arial"/>
                <w:sz w:val="16"/>
                <w:szCs w:val="16"/>
                <w:color w:val="auto"/>
                <w:w w:val="97"/>
              </w:rPr>
              <w:t>INVESTMENT PORTFOLIO</w:t>
            </w: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20" w:type="dxa"/>
            <w:vAlign w:val="bottom"/>
            <w:gridSpan w:val="7"/>
          </w:tcPr>
          <w:p>
            <w:pPr>
              <w:jc w:val="center"/>
              <w:ind w:left="279"/>
              <w:spacing w:after="0"/>
              <w:rPr>
                <w:sz w:val="20"/>
                <w:szCs w:val="20"/>
                <w:color w:val="auto"/>
              </w:rPr>
            </w:pPr>
            <w:r>
              <w:rPr>
                <w:rFonts w:ascii="Arial" w:cs="Arial" w:eastAsia="Arial" w:hAnsi="Arial"/>
                <w:sz w:val="16"/>
                <w:szCs w:val="16"/>
                <w:color w:val="auto"/>
                <w:w w:val="99"/>
              </w:rPr>
              <w:t>DISTRIBUTION BY COUNTRY</w:t>
            </w:r>
          </w:p>
        </w:tc>
        <w:tc>
          <w:tcPr>
            <w:tcW w:w="8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4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40" w:type="dxa"/>
            <w:vAlign w:val="bottom"/>
            <w:gridSpan w:val="5"/>
          </w:tcPr>
          <w:p>
            <w:pPr>
              <w:jc w:val="center"/>
              <w:ind w:right="440"/>
              <w:spacing w:after="0"/>
              <w:rPr>
                <w:sz w:val="20"/>
                <w:szCs w:val="20"/>
                <w:color w:val="auto"/>
              </w:rPr>
            </w:pPr>
            <w:r>
              <w:rPr>
                <w:rFonts w:ascii="Arial" w:cs="Arial" w:eastAsia="Arial" w:hAnsi="Arial"/>
                <w:sz w:val="16"/>
                <w:szCs w:val="16"/>
                <w:color w:val="auto"/>
                <w:w w:val="98"/>
              </w:rPr>
              <w:t>(In US$ million)</w:t>
            </w:r>
          </w:p>
        </w:tc>
        <w:tc>
          <w:tcPr>
            <w:tcW w:w="8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91"/>
        </w:trPr>
        <w:tc>
          <w:tcPr>
            <w:tcW w:w="40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gridSpan w:val="6"/>
          </w:tcPr>
          <w:p>
            <w:pPr>
              <w:jc w:val="right"/>
              <w:ind w:right="420"/>
              <w:spacing w:after="0"/>
              <w:rPr>
                <w:sz w:val="20"/>
                <w:szCs w:val="20"/>
                <w:color w:val="auto"/>
              </w:rPr>
            </w:pPr>
            <w:r>
              <w:rPr>
                <w:rFonts w:ascii="Arial" w:cs="Arial" w:eastAsia="Arial" w:hAnsi="Arial"/>
                <w:sz w:val="16"/>
                <w:szCs w:val="16"/>
                <w:color w:val="auto"/>
              </w:rPr>
              <w:t>AT THE END OF,</w:t>
            </w: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5"/>
        </w:trPr>
        <w:tc>
          <w:tcPr>
            <w:tcW w:w="4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40" w:type="dxa"/>
            <w:vAlign w:val="bottom"/>
            <w:gridSpan w:val="5"/>
          </w:tcPr>
          <w:p>
            <w:pPr>
              <w:jc w:val="right"/>
              <w:ind w:right="904"/>
              <w:spacing w:after="0" w:line="175" w:lineRule="exact"/>
              <w:rPr>
                <w:sz w:val="20"/>
                <w:szCs w:val="20"/>
                <w:color w:val="auto"/>
              </w:rPr>
            </w:pPr>
            <w:r>
              <w:rPr>
                <w:rFonts w:ascii="Arial" w:cs="Arial" w:eastAsia="Arial" w:hAnsi="Arial"/>
                <w:sz w:val="16"/>
                <w:szCs w:val="16"/>
                <w:color w:val="auto"/>
              </w:rPr>
              <w:t>(A)</w:t>
            </w:r>
          </w:p>
        </w:tc>
        <w:tc>
          <w:tcPr>
            <w:tcW w:w="1660" w:type="dxa"/>
            <w:vAlign w:val="bottom"/>
            <w:gridSpan w:val="4"/>
          </w:tcPr>
          <w:p>
            <w:pPr>
              <w:jc w:val="right"/>
              <w:ind w:right="800"/>
              <w:spacing w:after="0" w:line="175" w:lineRule="exact"/>
              <w:rPr>
                <w:sz w:val="20"/>
                <w:szCs w:val="20"/>
                <w:color w:val="auto"/>
              </w:rPr>
            </w:pPr>
            <w:r>
              <w:rPr>
                <w:rFonts w:ascii="Arial" w:cs="Arial" w:eastAsia="Arial" w:hAnsi="Arial"/>
                <w:sz w:val="16"/>
                <w:szCs w:val="16"/>
                <w:color w:val="auto"/>
              </w:rPr>
              <w:t>(B)</w:t>
            </w:r>
          </w:p>
        </w:tc>
        <w:tc>
          <w:tcPr>
            <w:tcW w:w="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720" w:type="dxa"/>
            <w:vAlign w:val="bottom"/>
            <w:gridSpan w:val="4"/>
          </w:tcPr>
          <w:p>
            <w:pPr>
              <w:jc w:val="center"/>
              <w:ind w:right="260"/>
              <w:spacing w:after="0" w:line="175" w:lineRule="exact"/>
              <w:rPr>
                <w:sz w:val="20"/>
                <w:szCs w:val="20"/>
                <w:color w:val="auto"/>
              </w:rPr>
            </w:pPr>
            <w:r>
              <w:rPr>
                <w:rFonts w:ascii="Arial" w:cs="Arial" w:eastAsia="Arial" w:hAnsi="Arial"/>
                <w:sz w:val="16"/>
                <w:szCs w:val="16"/>
                <w:color w:val="auto"/>
                <w:w w:val="98"/>
              </w:rPr>
              <w:t>(C)</w:t>
            </w:r>
          </w:p>
        </w:tc>
        <w:tc>
          <w:tcPr>
            <w:tcW w:w="8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4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40" w:type="dxa"/>
            <w:vAlign w:val="bottom"/>
            <w:gridSpan w:val="5"/>
          </w:tcPr>
          <w:p>
            <w:pPr>
              <w:jc w:val="right"/>
              <w:ind w:right="564"/>
              <w:spacing w:after="0"/>
              <w:rPr>
                <w:sz w:val="20"/>
                <w:szCs w:val="20"/>
                <w:color w:val="auto"/>
              </w:rPr>
            </w:pPr>
            <w:r>
              <w:rPr>
                <w:rFonts w:ascii="Arial" w:cs="Arial" w:eastAsia="Arial" w:hAnsi="Arial"/>
                <w:sz w:val="16"/>
                <w:szCs w:val="16"/>
                <w:color w:val="auto"/>
              </w:rPr>
              <w:t>Jun. 30, 2021</w:t>
            </w:r>
          </w:p>
        </w:tc>
        <w:tc>
          <w:tcPr>
            <w:tcW w:w="1660" w:type="dxa"/>
            <w:vAlign w:val="bottom"/>
            <w:gridSpan w:val="4"/>
          </w:tcPr>
          <w:p>
            <w:pPr>
              <w:jc w:val="right"/>
              <w:ind w:right="460"/>
              <w:spacing w:after="0"/>
              <w:rPr>
                <w:sz w:val="20"/>
                <w:szCs w:val="20"/>
                <w:color w:val="auto"/>
              </w:rPr>
            </w:pPr>
            <w:r>
              <w:rPr>
                <w:rFonts w:ascii="Arial" w:cs="Arial" w:eastAsia="Arial" w:hAnsi="Arial"/>
                <w:sz w:val="16"/>
                <w:szCs w:val="16"/>
                <w:color w:val="auto"/>
              </w:rPr>
              <w:t>Mar. 31, 2021</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gridSpan w:val="4"/>
          </w:tcPr>
          <w:p>
            <w:pPr>
              <w:jc w:val="center"/>
              <w:ind w:right="240"/>
              <w:spacing w:after="0"/>
              <w:rPr>
                <w:sz w:val="20"/>
                <w:szCs w:val="20"/>
                <w:color w:val="auto"/>
              </w:rPr>
            </w:pPr>
            <w:r>
              <w:rPr>
                <w:rFonts w:ascii="Arial" w:cs="Arial" w:eastAsia="Arial" w:hAnsi="Arial"/>
                <w:sz w:val="16"/>
                <w:szCs w:val="16"/>
                <w:color w:val="auto"/>
                <w:w w:val="90"/>
              </w:rPr>
              <w:t>Jun. 30, 2020</w:t>
            </w:r>
          </w:p>
        </w:tc>
        <w:tc>
          <w:tcPr>
            <w:tcW w:w="80" w:type="dxa"/>
            <w:vAlign w:val="bottom"/>
          </w:tcPr>
          <w:p>
            <w:pPr>
              <w:spacing w:after="0"/>
              <w:rPr>
                <w:sz w:val="17"/>
                <w:szCs w:val="17"/>
                <w:color w:val="auto"/>
              </w:rPr>
            </w:pPr>
          </w:p>
        </w:tc>
        <w:tc>
          <w:tcPr>
            <w:tcW w:w="1640" w:type="dxa"/>
            <w:vAlign w:val="bottom"/>
            <w:gridSpan w:val="5"/>
          </w:tcPr>
          <w:p>
            <w:pPr>
              <w:jc w:val="right"/>
              <w:ind w:right="320"/>
              <w:spacing w:after="0"/>
              <w:rPr>
                <w:sz w:val="20"/>
                <w:szCs w:val="20"/>
                <w:color w:val="auto"/>
              </w:rPr>
            </w:pPr>
            <w:r>
              <w:rPr>
                <w:rFonts w:ascii="Arial" w:cs="Arial" w:eastAsia="Arial" w:hAnsi="Arial"/>
                <w:sz w:val="16"/>
                <w:szCs w:val="16"/>
                <w:color w:val="auto"/>
                <w:w w:val="98"/>
              </w:rPr>
              <w:t>Change in Amount</w:t>
            </w:r>
          </w:p>
        </w:tc>
        <w:tc>
          <w:tcPr>
            <w:tcW w:w="0" w:type="dxa"/>
            <w:vAlign w:val="bottom"/>
          </w:tcPr>
          <w:p>
            <w:pPr>
              <w:spacing w:after="0"/>
              <w:rPr>
                <w:sz w:val="1"/>
                <w:szCs w:val="1"/>
                <w:color w:val="auto"/>
              </w:rPr>
            </w:pPr>
          </w:p>
        </w:tc>
      </w:tr>
      <w:tr>
        <w:trPr>
          <w:trHeight w:val="176"/>
        </w:trPr>
        <w:tc>
          <w:tcPr>
            <w:tcW w:w="4040" w:type="dxa"/>
            <w:vAlign w:val="bottom"/>
            <w:vMerge w:val="restart"/>
          </w:tcPr>
          <w:p>
            <w:pPr>
              <w:spacing w:after="0"/>
              <w:rPr>
                <w:sz w:val="20"/>
                <w:szCs w:val="20"/>
                <w:color w:val="auto"/>
              </w:rPr>
            </w:pPr>
            <w:r>
              <w:rPr>
                <w:rFonts w:ascii="Arial" w:cs="Arial" w:eastAsia="Arial" w:hAnsi="Arial"/>
                <w:sz w:val="16"/>
                <w:szCs w:val="16"/>
                <w:color w:val="auto"/>
              </w:rPr>
              <w:t>COUNTRY</w:t>
            </w:r>
          </w:p>
        </w:tc>
        <w:tc>
          <w:tcPr>
            <w:tcW w:w="10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jc w:val="right"/>
              <w:spacing w:after="0" w:line="176" w:lineRule="exact"/>
              <w:rPr>
                <w:sz w:val="20"/>
                <w:szCs w:val="20"/>
                <w:color w:val="auto"/>
              </w:rPr>
            </w:pPr>
            <w:r>
              <w:rPr>
                <w:rFonts w:ascii="Arial" w:cs="Arial" w:eastAsia="Arial" w:hAnsi="Arial"/>
                <w:sz w:val="16"/>
                <w:szCs w:val="16"/>
                <w:color w:val="auto"/>
              </w:rPr>
              <w:t>% of Total</w:t>
            </w:r>
          </w:p>
        </w:tc>
        <w:tc>
          <w:tcPr>
            <w:tcW w:w="14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jc w:val="right"/>
              <w:spacing w:after="0" w:line="176" w:lineRule="exact"/>
              <w:rPr>
                <w:sz w:val="20"/>
                <w:szCs w:val="20"/>
                <w:color w:val="auto"/>
              </w:rPr>
            </w:pPr>
            <w:r>
              <w:rPr>
                <w:rFonts w:ascii="Arial" w:cs="Arial" w:eastAsia="Arial" w:hAnsi="Arial"/>
                <w:sz w:val="16"/>
                <w:szCs w:val="16"/>
                <w:color w:val="auto"/>
                <w:w w:val="99"/>
              </w:rPr>
              <w:t>% of Total</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jc w:val="center"/>
              <w:spacing w:after="0" w:line="176" w:lineRule="exact"/>
              <w:rPr>
                <w:sz w:val="20"/>
                <w:szCs w:val="20"/>
                <w:color w:val="auto"/>
              </w:rPr>
            </w:pPr>
            <w:r>
              <w:rPr>
                <w:rFonts w:ascii="Arial" w:cs="Arial" w:eastAsia="Arial" w:hAnsi="Arial"/>
                <w:sz w:val="16"/>
                <w:szCs w:val="16"/>
                <w:color w:val="auto"/>
                <w:w w:val="94"/>
              </w:rPr>
              <w:t>% of Total</w:t>
            </w:r>
          </w:p>
        </w:tc>
        <w:tc>
          <w:tcPr>
            <w:tcW w:w="1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7"/>
        </w:trPr>
        <w:tc>
          <w:tcPr>
            <w:tcW w:w="404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gridSpan w:val="2"/>
          </w:tcPr>
          <w:p>
            <w:pPr>
              <w:ind w:left="20"/>
              <w:spacing w:after="0"/>
              <w:rPr>
                <w:sz w:val="20"/>
                <w:szCs w:val="20"/>
                <w:color w:val="auto"/>
              </w:rPr>
            </w:pPr>
            <w:r>
              <w:rPr>
                <w:rFonts w:ascii="Arial" w:cs="Arial" w:eastAsia="Arial" w:hAnsi="Arial"/>
                <w:sz w:val="16"/>
                <w:szCs w:val="16"/>
                <w:color w:val="auto"/>
              </w:rPr>
              <w:t>Amount</w:t>
            </w:r>
          </w:p>
        </w:tc>
        <w:tc>
          <w:tcPr>
            <w:tcW w:w="1060" w:type="dxa"/>
            <w:vAlign w:val="bottom"/>
            <w:gridSpan w:val="3"/>
          </w:tcPr>
          <w:p>
            <w:pPr>
              <w:jc w:val="right"/>
              <w:ind w:right="184"/>
              <w:spacing w:after="0"/>
              <w:rPr>
                <w:sz w:val="20"/>
                <w:szCs w:val="20"/>
                <w:color w:val="auto"/>
              </w:rPr>
            </w:pPr>
            <w:r>
              <w:rPr>
                <w:rFonts w:ascii="Arial" w:cs="Arial" w:eastAsia="Arial" w:hAnsi="Arial"/>
                <w:sz w:val="16"/>
                <w:szCs w:val="16"/>
                <w:color w:val="auto"/>
                <w:w w:val="90"/>
              </w:rPr>
              <w:t>Outstanding</w:t>
            </w:r>
          </w:p>
        </w:tc>
        <w:tc>
          <w:tcPr>
            <w:tcW w:w="780" w:type="dxa"/>
            <w:vAlign w:val="bottom"/>
            <w:gridSpan w:val="2"/>
          </w:tcPr>
          <w:p>
            <w:pPr>
              <w:jc w:val="right"/>
              <w:ind w:right="220"/>
              <w:spacing w:after="0"/>
              <w:rPr>
                <w:sz w:val="20"/>
                <w:szCs w:val="20"/>
                <w:color w:val="auto"/>
              </w:rPr>
            </w:pPr>
            <w:r>
              <w:rPr>
                <w:rFonts w:ascii="Arial" w:cs="Arial" w:eastAsia="Arial" w:hAnsi="Arial"/>
                <w:sz w:val="16"/>
                <w:szCs w:val="16"/>
                <w:color w:val="auto"/>
                <w:w w:val="97"/>
              </w:rPr>
              <w:t>Amount</w:t>
            </w:r>
          </w:p>
        </w:tc>
        <w:tc>
          <w:tcPr>
            <w:tcW w:w="880" w:type="dxa"/>
            <w:vAlign w:val="bottom"/>
            <w:gridSpan w:val="2"/>
          </w:tcPr>
          <w:p>
            <w:pPr>
              <w:jc w:val="right"/>
              <w:ind w:right="80"/>
              <w:spacing w:after="0"/>
              <w:rPr>
                <w:sz w:val="20"/>
                <w:szCs w:val="20"/>
                <w:color w:val="auto"/>
              </w:rPr>
            </w:pPr>
            <w:r>
              <w:rPr>
                <w:rFonts w:ascii="Arial" w:cs="Arial" w:eastAsia="Arial" w:hAnsi="Arial"/>
                <w:sz w:val="16"/>
                <w:szCs w:val="16"/>
                <w:color w:val="auto"/>
                <w:w w:val="90"/>
              </w:rPr>
              <w:t>Outstanding</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6"/>
                <w:szCs w:val="16"/>
                <w:color w:val="auto"/>
                <w:w w:val="94"/>
              </w:rPr>
              <w:t>Amount</w:t>
            </w:r>
          </w:p>
        </w:tc>
        <w:tc>
          <w:tcPr>
            <w:tcW w:w="960" w:type="dxa"/>
            <w:vAlign w:val="bottom"/>
            <w:gridSpan w:val="2"/>
          </w:tcPr>
          <w:p>
            <w:pPr>
              <w:jc w:val="center"/>
              <w:ind w:right="120"/>
              <w:spacing w:after="0"/>
              <w:rPr>
                <w:sz w:val="20"/>
                <w:szCs w:val="20"/>
                <w:color w:val="auto"/>
              </w:rPr>
            </w:pPr>
            <w:r>
              <w:rPr>
                <w:rFonts w:ascii="Arial" w:cs="Arial" w:eastAsia="Arial" w:hAnsi="Arial"/>
                <w:sz w:val="16"/>
                <w:szCs w:val="16"/>
                <w:color w:val="auto"/>
                <w:w w:val="92"/>
              </w:rPr>
              <w:t>Outstanding</w:t>
            </w:r>
          </w:p>
        </w:tc>
        <w:tc>
          <w:tcPr>
            <w:tcW w:w="80" w:type="dxa"/>
            <w:vAlign w:val="bottom"/>
          </w:tcPr>
          <w:p>
            <w:pPr>
              <w:spacing w:after="0"/>
              <w:rPr>
                <w:sz w:val="17"/>
                <w:szCs w:val="17"/>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6"/>
                <w:szCs w:val="16"/>
                <w:color w:val="auto"/>
                <w:w w:val="98"/>
              </w:rPr>
              <w:t>(A) - (B)</w:t>
            </w:r>
          </w:p>
        </w:tc>
        <w:tc>
          <w:tcPr>
            <w:tcW w:w="80" w:type="dxa"/>
            <w:vAlign w:val="bottom"/>
          </w:tcPr>
          <w:p>
            <w:pPr>
              <w:spacing w:after="0"/>
              <w:rPr>
                <w:sz w:val="17"/>
                <w:szCs w:val="17"/>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6"/>
                <w:szCs w:val="16"/>
                <w:color w:val="auto"/>
              </w:rPr>
              <w:t>(A) - (C)</w:t>
            </w:r>
          </w:p>
        </w:tc>
        <w:tc>
          <w:tcPr>
            <w:tcW w:w="0" w:type="dxa"/>
            <w:vAlign w:val="bottom"/>
          </w:tcPr>
          <w:p>
            <w:pPr>
              <w:spacing w:after="0"/>
              <w:rPr>
                <w:sz w:val="1"/>
                <w:szCs w:val="1"/>
                <w:color w:val="auto"/>
              </w:rPr>
            </w:pPr>
          </w:p>
        </w:tc>
      </w:tr>
      <w:tr>
        <w:trPr>
          <w:trHeight w:val="188"/>
        </w:trPr>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BRAZIL</w:t>
            </w: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95</w:t>
            </w:r>
          </w:p>
        </w:tc>
        <w:tc>
          <w:tcPr>
            <w:tcW w:w="100" w:type="dxa"/>
            <w:vAlign w:val="bottom"/>
            <w:tcBorders>
              <w:top w:val="single" w:sz="8" w:color="CCEEFF"/>
            </w:tcBorders>
            <w:shd w:val="clear" w:color="auto" w:fill="CCEEFF"/>
          </w:tcPr>
          <w:p>
            <w:pPr>
              <w:spacing w:after="0"/>
              <w:rPr>
                <w:sz w:val="16"/>
                <w:szCs w:val="16"/>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14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61</w:t>
            </w:r>
          </w:p>
        </w:tc>
        <w:tc>
          <w:tcPr>
            <w:tcW w:w="120" w:type="dxa"/>
            <w:vAlign w:val="bottom"/>
            <w:tcBorders>
              <w:top w:val="single" w:sz="8" w:color="CCEEFF"/>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8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w:t>
            </w:r>
          </w:p>
        </w:tc>
        <w:tc>
          <w:tcPr>
            <w:tcW w:w="100" w:type="dxa"/>
            <w:vAlign w:val="bottom"/>
            <w:tcBorders>
              <w:top w:val="single" w:sz="8" w:color="CCEEFF"/>
            </w:tcBorders>
            <w:shd w:val="clear" w:color="auto" w:fill="CCEEFF"/>
          </w:tcPr>
          <w:p>
            <w:pPr>
              <w:spacing w:after="0"/>
              <w:rPr>
                <w:sz w:val="16"/>
                <w:szCs w:val="16"/>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w:t>
            </w: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140" w:type="dxa"/>
            <w:vAlign w:val="bottom"/>
            <w:tcBorders>
              <w:top w:val="single" w:sz="8" w:color="CCEEFF"/>
              <w:right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86</w:t>
            </w: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4040" w:type="dxa"/>
            <w:vAlign w:val="bottom"/>
          </w:tcPr>
          <w:p>
            <w:pPr>
              <w:spacing w:after="0"/>
              <w:rPr>
                <w:sz w:val="20"/>
                <w:szCs w:val="20"/>
                <w:color w:val="auto"/>
              </w:rPr>
            </w:pPr>
            <w:r>
              <w:rPr>
                <w:rFonts w:ascii="Arial" w:cs="Arial" w:eastAsia="Arial" w:hAnsi="Arial"/>
                <w:sz w:val="16"/>
                <w:szCs w:val="16"/>
                <w:color w:val="auto"/>
              </w:rPr>
              <w:t>CHILE</w:t>
            </w:r>
          </w:p>
        </w:tc>
        <w:tc>
          <w:tcPr>
            <w:tcW w:w="100" w:type="dxa"/>
            <w:vAlign w:val="bottom"/>
          </w:tcPr>
          <w:p>
            <w:pPr>
              <w:spacing w:after="0"/>
              <w:rPr>
                <w:sz w:val="16"/>
                <w:szCs w:val="16"/>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6"/>
                <w:szCs w:val="16"/>
                <w:color w:val="auto"/>
              </w:rPr>
              <w:t>99</w:t>
            </w:r>
          </w:p>
        </w:tc>
        <w:tc>
          <w:tcPr>
            <w:tcW w:w="820" w:type="dxa"/>
            <w:vAlign w:val="bottom"/>
          </w:tcPr>
          <w:p>
            <w:pPr>
              <w:jc w:val="right"/>
              <w:spacing w:after="0"/>
              <w:rPr>
                <w:sz w:val="20"/>
                <w:szCs w:val="20"/>
                <w:color w:val="auto"/>
              </w:rPr>
            </w:pPr>
            <w:r>
              <w:rPr>
                <w:rFonts w:ascii="Arial" w:cs="Arial" w:eastAsia="Arial" w:hAnsi="Arial"/>
                <w:sz w:val="16"/>
                <w:szCs w:val="16"/>
                <w:color w:val="auto"/>
              </w:rPr>
              <w:t>19</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41</w:t>
            </w:r>
          </w:p>
        </w:tc>
        <w:tc>
          <w:tcPr>
            <w:tcW w:w="880" w:type="dxa"/>
            <w:vAlign w:val="bottom"/>
            <w:gridSpan w:val="2"/>
          </w:tcPr>
          <w:p>
            <w:pPr>
              <w:jc w:val="right"/>
              <w:ind w:right="80"/>
              <w:spacing w:after="0"/>
              <w:rPr>
                <w:sz w:val="20"/>
                <w:szCs w:val="20"/>
                <w:color w:val="auto"/>
              </w:rPr>
            </w:pPr>
            <w:r>
              <w:rPr>
                <w:rFonts w:ascii="Arial" w:cs="Arial" w:eastAsia="Arial" w:hAnsi="Arial"/>
                <w:sz w:val="16"/>
                <w:szCs w:val="16"/>
                <w:color w:val="auto"/>
              </w:rPr>
              <w:t>10</w:t>
            </w: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gridSpan w:val="2"/>
          </w:tcPr>
          <w:p>
            <w:pPr>
              <w:jc w:val="right"/>
              <w:ind w:right="100"/>
              <w:spacing w:after="0"/>
              <w:rPr>
                <w:sz w:val="20"/>
                <w:szCs w:val="20"/>
                <w:color w:val="auto"/>
              </w:rPr>
            </w:pPr>
            <w:r>
              <w:rPr>
                <w:rFonts w:ascii="Arial" w:cs="Arial" w:eastAsia="Arial" w:hAnsi="Arial"/>
                <w:sz w:val="16"/>
                <w:szCs w:val="16"/>
                <w:color w:val="auto"/>
              </w:rPr>
              <w:t>5</w:t>
            </w: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5</w:t>
            </w:r>
          </w:p>
        </w:tc>
        <w:tc>
          <w:tcPr>
            <w:tcW w:w="80" w:type="dxa"/>
            <w:vAlign w:val="bottom"/>
          </w:tcPr>
          <w:p>
            <w:pPr>
              <w:spacing w:after="0"/>
              <w:rPr>
                <w:sz w:val="16"/>
                <w:szCs w:val="16"/>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6"/>
                <w:szCs w:val="16"/>
                <w:color w:val="auto"/>
              </w:rPr>
              <w:t>58</w:t>
            </w:r>
          </w:p>
        </w:tc>
        <w:tc>
          <w:tcPr>
            <w:tcW w:w="80" w:type="dxa"/>
            <w:vAlign w:val="bottom"/>
          </w:tcPr>
          <w:p>
            <w:pPr>
              <w:spacing w:after="0"/>
              <w:rPr>
                <w:sz w:val="16"/>
                <w:szCs w:val="16"/>
                <w:color w:val="auto"/>
              </w:rPr>
            </w:pPr>
          </w:p>
        </w:tc>
        <w:tc>
          <w:tcPr>
            <w:tcW w:w="660" w:type="dxa"/>
            <w:vAlign w:val="bottom"/>
          </w:tcPr>
          <w:p>
            <w:pPr>
              <w:jc w:val="right"/>
              <w:spacing w:after="0"/>
              <w:rPr>
                <w:sz w:val="20"/>
                <w:szCs w:val="20"/>
                <w:color w:val="auto"/>
              </w:rPr>
            </w:pPr>
            <w:r>
              <w:rPr>
                <w:rFonts w:ascii="Arial" w:cs="Arial" w:eastAsia="Arial" w:hAnsi="Arial"/>
                <w:sz w:val="16"/>
                <w:szCs w:val="16"/>
                <w:color w:val="auto"/>
              </w:rPr>
              <w:t>94</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27</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w:t>
            </w: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15</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4</w:t>
            </w: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29</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12</w:t>
            </w:r>
          </w:p>
        </w:tc>
        <w:tc>
          <w:tcPr>
            <w:tcW w:w="8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195"/>
        </w:trPr>
        <w:tc>
          <w:tcPr>
            <w:tcW w:w="4040" w:type="dxa"/>
            <w:vAlign w:val="bottom"/>
          </w:tcPr>
          <w:p>
            <w:pPr>
              <w:spacing w:after="0"/>
              <w:rPr>
                <w:sz w:val="20"/>
                <w:szCs w:val="20"/>
                <w:color w:val="auto"/>
              </w:rPr>
            </w:pPr>
            <w:r>
              <w:rPr>
                <w:rFonts w:ascii="Arial" w:cs="Arial" w:eastAsia="Arial" w:hAnsi="Arial"/>
                <w:sz w:val="16"/>
                <w:szCs w:val="16"/>
                <w:color w:val="auto"/>
              </w:rPr>
              <w:t>MEXICO</w:t>
            </w:r>
          </w:p>
        </w:tc>
        <w:tc>
          <w:tcPr>
            <w:tcW w:w="100" w:type="dxa"/>
            <w:vAlign w:val="bottom"/>
          </w:tcPr>
          <w:p>
            <w:pPr>
              <w:spacing w:after="0"/>
              <w:rPr>
                <w:sz w:val="16"/>
                <w:szCs w:val="16"/>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6"/>
                <w:szCs w:val="16"/>
                <w:color w:val="auto"/>
              </w:rPr>
              <w:t>35</w:t>
            </w: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7</w:t>
            </w:r>
          </w:p>
        </w:tc>
        <w:tc>
          <w:tcPr>
            <w:tcW w:w="10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44</w:t>
            </w:r>
          </w:p>
        </w:tc>
        <w:tc>
          <w:tcPr>
            <w:tcW w:w="880" w:type="dxa"/>
            <w:vAlign w:val="bottom"/>
            <w:gridSpan w:val="2"/>
          </w:tcPr>
          <w:p>
            <w:pPr>
              <w:jc w:val="right"/>
              <w:ind w:right="80"/>
              <w:spacing w:after="0"/>
              <w:rPr>
                <w:sz w:val="20"/>
                <w:szCs w:val="20"/>
                <w:color w:val="auto"/>
              </w:rPr>
            </w:pPr>
            <w:r>
              <w:rPr>
                <w:rFonts w:ascii="Arial" w:cs="Arial" w:eastAsia="Arial" w:hAnsi="Arial"/>
                <w:sz w:val="16"/>
                <w:szCs w:val="16"/>
                <w:color w:val="auto"/>
              </w:rPr>
              <w:t>11</w:t>
            </w: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gridSpan w:val="2"/>
          </w:tcPr>
          <w:p>
            <w:pPr>
              <w:jc w:val="right"/>
              <w:ind w:right="100"/>
              <w:spacing w:after="0"/>
              <w:rPr>
                <w:sz w:val="20"/>
                <w:szCs w:val="20"/>
                <w:color w:val="auto"/>
              </w:rPr>
            </w:pPr>
            <w:r>
              <w:rPr>
                <w:rFonts w:ascii="Arial" w:cs="Arial" w:eastAsia="Arial" w:hAnsi="Arial"/>
                <w:sz w:val="16"/>
                <w:szCs w:val="16"/>
                <w:color w:val="auto"/>
              </w:rPr>
              <w:t>22</w:t>
            </w:r>
          </w:p>
        </w:tc>
        <w:tc>
          <w:tcPr>
            <w:tcW w:w="820" w:type="dxa"/>
            <w:vAlign w:val="bottom"/>
          </w:tcPr>
          <w:p>
            <w:pPr>
              <w:jc w:val="right"/>
              <w:spacing w:after="0"/>
              <w:rPr>
                <w:sz w:val="20"/>
                <w:szCs w:val="20"/>
                <w:color w:val="auto"/>
              </w:rPr>
            </w:pPr>
            <w:r>
              <w:rPr>
                <w:rFonts w:ascii="Arial" w:cs="Arial" w:eastAsia="Arial" w:hAnsi="Arial"/>
                <w:sz w:val="16"/>
                <w:szCs w:val="16"/>
                <w:color w:val="auto"/>
              </w:rPr>
              <w:t>23</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gridSpan w:val="2"/>
          </w:tcPr>
          <w:p>
            <w:pPr>
              <w:jc w:val="right"/>
              <w:ind w:right="80"/>
              <w:spacing w:after="0"/>
              <w:rPr>
                <w:sz w:val="20"/>
                <w:szCs w:val="20"/>
                <w:color w:val="auto"/>
              </w:rPr>
            </w:pPr>
            <w:r>
              <w:rPr>
                <w:rFonts w:ascii="Arial" w:cs="Arial" w:eastAsia="Arial" w:hAnsi="Arial"/>
                <w:sz w:val="16"/>
                <w:szCs w:val="16"/>
                <w:color w:val="auto"/>
              </w:rPr>
              <w:t>(9)</w:t>
            </w:r>
          </w:p>
        </w:tc>
        <w:tc>
          <w:tcPr>
            <w:tcW w:w="80" w:type="dxa"/>
            <w:vAlign w:val="bottom"/>
          </w:tcPr>
          <w:p>
            <w:pPr>
              <w:spacing w:after="0"/>
              <w:rPr>
                <w:sz w:val="16"/>
                <w:szCs w:val="16"/>
                <w:color w:val="auto"/>
              </w:rPr>
            </w:pPr>
          </w:p>
        </w:tc>
        <w:tc>
          <w:tcPr>
            <w:tcW w:w="660" w:type="dxa"/>
            <w:vAlign w:val="bottom"/>
          </w:tcPr>
          <w:p>
            <w:pPr>
              <w:jc w:val="right"/>
              <w:spacing w:after="0"/>
              <w:rPr>
                <w:sz w:val="20"/>
                <w:szCs w:val="20"/>
                <w:color w:val="auto"/>
              </w:rPr>
            </w:pPr>
            <w:r>
              <w:rPr>
                <w:rFonts w:ascii="Arial" w:cs="Arial" w:eastAsia="Arial" w:hAnsi="Arial"/>
                <w:sz w:val="16"/>
                <w:szCs w:val="16"/>
                <w:color w:val="auto"/>
              </w:rPr>
              <w:t>13</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PANAMA</w:t>
            </w: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14</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w:t>
            </w: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w:t>
            </w: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31</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4</w:t>
            </w:r>
          </w:p>
        </w:tc>
        <w:tc>
          <w:tcPr>
            <w:tcW w:w="8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(17)</w:t>
            </w:r>
          </w:p>
        </w:tc>
        <w:tc>
          <w:tcPr>
            <w:tcW w:w="0" w:type="dxa"/>
            <w:vAlign w:val="bottom"/>
          </w:tcPr>
          <w:p>
            <w:pPr>
              <w:spacing w:after="0"/>
              <w:rPr>
                <w:sz w:val="1"/>
                <w:szCs w:val="1"/>
                <w:color w:val="auto"/>
              </w:rPr>
            </w:pPr>
          </w:p>
        </w:tc>
      </w:tr>
      <w:tr>
        <w:trPr>
          <w:trHeight w:val="195"/>
        </w:trPr>
        <w:tc>
          <w:tcPr>
            <w:tcW w:w="4040" w:type="dxa"/>
            <w:vAlign w:val="bottom"/>
          </w:tcPr>
          <w:p>
            <w:pPr>
              <w:spacing w:after="0"/>
              <w:rPr>
                <w:sz w:val="20"/>
                <w:szCs w:val="20"/>
                <w:color w:val="auto"/>
              </w:rPr>
            </w:pPr>
            <w:r>
              <w:rPr>
                <w:rFonts w:ascii="Arial" w:cs="Arial" w:eastAsia="Arial" w:hAnsi="Arial"/>
                <w:sz w:val="16"/>
                <w:szCs w:val="16"/>
                <w:color w:val="auto"/>
              </w:rPr>
              <w:t>PERU</w:t>
            </w:r>
          </w:p>
        </w:tc>
        <w:tc>
          <w:tcPr>
            <w:tcW w:w="100" w:type="dxa"/>
            <w:vAlign w:val="bottom"/>
          </w:tcPr>
          <w:p>
            <w:pPr>
              <w:spacing w:after="0"/>
              <w:rPr>
                <w:sz w:val="16"/>
                <w:szCs w:val="16"/>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6"/>
                <w:szCs w:val="16"/>
                <w:color w:val="auto"/>
              </w:rPr>
              <w:t>52</w:t>
            </w:r>
          </w:p>
        </w:tc>
        <w:tc>
          <w:tcPr>
            <w:tcW w:w="820" w:type="dxa"/>
            <w:vAlign w:val="bottom"/>
          </w:tcPr>
          <w:p>
            <w:pPr>
              <w:jc w:val="right"/>
              <w:spacing w:after="0"/>
              <w:rPr>
                <w:sz w:val="20"/>
                <w:szCs w:val="20"/>
                <w:color w:val="auto"/>
              </w:rPr>
            </w:pPr>
            <w:r>
              <w:rPr>
                <w:rFonts w:ascii="Arial" w:cs="Arial" w:eastAsia="Arial" w:hAnsi="Arial"/>
                <w:sz w:val="16"/>
                <w:szCs w:val="16"/>
                <w:color w:val="auto"/>
              </w:rPr>
              <w:t>10</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17</w:t>
            </w:r>
          </w:p>
        </w:tc>
        <w:tc>
          <w:tcPr>
            <w:tcW w:w="880" w:type="dxa"/>
            <w:vAlign w:val="bottom"/>
            <w:gridSpan w:val="2"/>
          </w:tcPr>
          <w:p>
            <w:pPr>
              <w:jc w:val="right"/>
              <w:ind w:right="80"/>
              <w:spacing w:after="0"/>
              <w:rPr>
                <w:sz w:val="20"/>
                <w:szCs w:val="20"/>
                <w:color w:val="auto"/>
              </w:rPr>
            </w:pPr>
            <w:r>
              <w:rPr>
                <w:rFonts w:ascii="Arial" w:cs="Arial" w:eastAsia="Arial" w:hAnsi="Arial"/>
                <w:sz w:val="16"/>
                <w:szCs w:val="16"/>
                <w:color w:val="auto"/>
              </w:rPr>
              <w:t>4</w:t>
            </w: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6"/>
                <w:szCs w:val="16"/>
                <w:color w:val="auto"/>
              </w:rPr>
              <w:t>35</w:t>
            </w:r>
          </w:p>
        </w:tc>
        <w:tc>
          <w:tcPr>
            <w:tcW w:w="80" w:type="dxa"/>
            <w:vAlign w:val="bottom"/>
          </w:tcPr>
          <w:p>
            <w:pPr>
              <w:spacing w:after="0"/>
              <w:rPr>
                <w:sz w:val="16"/>
                <w:szCs w:val="16"/>
                <w:color w:val="auto"/>
              </w:rPr>
            </w:pPr>
          </w:p>
        </w:tc>
        <w:tc>
          <w:tcPr>
            <w:tcW w:w="660" w:type="dxa"/>
            <w:vAlign w:val="bottom"/>
          </w:tcPr>
          <w:p>
            <w:pPr>
              <w:jc w:val="right"/>
              <w:spacing w:after="0"/>
              <w:rPr>
                <w:sz w:val="20"/>
                <w:szCs w:val="20"/>
                <w:color w:val="auto"/>
              </w:rPr>
            </w:pPr>
            <w:r>
              <w:rPr>
                <w:rFonts w:ascii="Arial" w:cs="Arial" w:eastAsia="Arial" w:hAnsi="Arial"/>
                <w:sz w:val="16"/>
                <w:szCs w:val="16"/>
                <w:color w:val="auto"/>
              </w:rPr>
              <w:t>52</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MULTILATERAL ORGANIZATIONS</w:t>
            </w: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112</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w:t>
            </w:r>
          </w:p>
        </w:tc>
        <w:tc>
          <w:tcPr>
            <w:tcW w:w="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112</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29</w:t>
            </w: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8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112</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4040" w:type="dxa"/>
            <w:vAlign w:val="bottom"/>
          </w:tcPr>
          <w:p>
            <w:pPr>
              <w:spacing w:after="0" w:line="232" w:lineRule="exact"/>
              <w:rPr>
                <w:sz w:val="20"/>
                <w:szCs w:val="20"/>
                <w:color w:val="auto"/>
              </w:rPr>
            </w:pPr>
            <w:r>
              <w:rPr>
                <w:rFonts w:ascii="Arial" w:cs="Arial" w:eastAsia="Arial" w:hAnsi="Arial"/>
                <w:sz w:val="16"/>
                <w:szCs w:val="16"/>
                <w:color w:val="auto"/>
              </w:rPr>
              <w:t xml:space="preserve">OTHER NON-LATAM </w:t>
            </w:r>
            <w:r>
              <w:rPr>
                <w:rFonts w:ascii="Arial" w:cs="Arial" w:eastAsia="Arial" w:hAnsi="Arial"/>
                <w:sz w:val="26"/>
                <w:szCs w:val="26"/>
                <w:color w:val="auto"/>
                <w:vertAlign w:val="superscript"/>
              </w:rPr>
              <w:t>(1)</w:t>
            </w:r>
          </w:p>
        </w:tc>
        <w:tc>
          <w:tcPr>
            <w:tcW w:w="100" w:type="dxa"/>
            <w:vAlign w:val="bottom"/>
          </w:tcPr>
          <w:p>
            <w:pPr>
              <w:spacing w:after="0"/>
              <w:rPr>
                <w:sz w:val="20"/>
                <w:szCs w:val="20"/>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6"/>
                <w:szCs w:val="16"/>
                <w:color w:val="auto"/>
              </w:rPr>
              <w:t>89</w:t>
            </w:r>
          </w:p>
        </w:tc>
        <w:tc>
          <w:tcPr>
            <w:tcW w:w="820" w:type="dxa"/>
            <w:vAlign w:val="bottom"/>
          </w:tcPr>
          <w:p>
            <w:pPr>
              <w:jc w:val="right"/>
              <w:spacing w:after="0"/>
              <w:rPr>
                <w:sz w:val="20"/>
                <w:szCs w:val="20"/>
                <w:color w:val="auto"/>
              </w:rPr>
            </w:pPr>
            <w:r>
              <w:rPr>
                <w:rFonts w:ascii="Arial" w:cs="Arial" w:eastAsia="Arial" w:hAnsi="Arial"/>
                <w:sz w:val="16"/>
                <w:szCs w:val="16"/>
                <w:color w:val="auto"/>
              </w:rPr>
              <w:t>17</w:t>
            </w: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89</w:t>
            </w:r>
          </w:p>
        </w:tc>
        <w:tc>
          <w:tcPr>
            <w:tcW w:w="880" w:type="dxa"/>
            <w:vAlign w:val="bottom"/>
            <w:gridSpan w:val="2"/>
          </w:tcPr>
          <w:p>
            <w:pPr>
              <w:jc w:val="right"/>
              <w:ind w:right="80"/>
              <w:spacing w:after="0"/>
              <w:rPr>
                <w:sz w:val="20"/>
                <w:szCs w:val="20"/>
                <w:color w:val="auto"/>
              </w:rPr>
            </w:pPr>
            <w:r>
              <w:rPr>
                <w:rFonts w:ascii="Arial" w:cs="Arial" w:eastAsia="Arial" w:hAnsi="Arial"/>
                <w:sz w:val="16"/>
                <w:szCs w:val="16"/>
                <w:color w:val="auto"/>
              </w:rPr>
              <w:t>23</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20"/>
                <w:szCs w:val="20"/>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20"/>
                <w:szCs w:val="20"/>
                <w:color w:val="auto"/>
              </w:rPr>
            </w:pPr>
          </w:p>
        </w:tc>
        <w:tc>
          <w:tcPr>
            <w:tcW w:w="660" w:type="dxa"/>
            <w:vAlign w:val="bottom"/>
          </w:tcPr>
          <w:p>
            <w:pPr>
              <w:jc w:val="right"/>
              <w:spacing w:after="0"/>
              <w:rPr>
                <w:sz w:val="20"/>
                <w:szCs w:val="20"/>
                <w:color w:val="auto"/>
              </w:rPr>
            </w:pPr>
            <w:r>
              <w:rPr>
                <w:rFonts w:ascii="Arial" w:cs="Arial" w:eastAsia="Arial" w:hAnsi="Arial"/>
                <w:sz w:val="16"/>
                <w:szCs w:val="16"/>
                <w:color w:val="auto"/>
              </w:rPr>
              <w:t>89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4040" w:type="dxa"/>
            <w:vAlign w:val="bottom"/>
            <w:shd w:val="clear" w:color="auto" w:fill="CCEEFF"/>
          </w:tcPr>
          <w:p>
            <w:pPr>
              <w:spacing w:after="0"/>
              <w:rPr>
                <w:sz w:val="16"/>
                <w:szCs w:val="16"/>
                <w:color w:val="auto"/>
              </w:rPr>
            </w:pPr>
          </w:p>
        </w:tc>
        <w:tc>
          <w:tcPr>
            <w:tcW w:w="100" w:type="dxa"/>
            <w:vAlign w:val="bottom"/>
            <w:tcBorders>
              <w:bottom w:val="single" w:sz="8" w:color="auto"/>
            </w:tcBorders>
            <w:shd w:val="clear" w:color="auto" w:fill="CCEEFF"/>
          </w:tcPr>
          <w:p>
            <w:pPr>
              <w:spacing w:after="0"/>
              <w:rPr>
                <w:sz w:val="16"/>
                <w:szCs w:val="16"/>
                <w:color w:val="auto"/>
              </w:rPr>
            </w:pPr>
          </w:p>
        </w:tc>
        <w:tc>
          <w:tcPr>
            <w:tcW w:w="680" w:type="dxa"/>
            <w:vAlign w:val="bottom"/>
            <w:tcBorders>
              <w:bottom w:val="single" w:sz="8" w:color="auto"/>
            </w:tcBorders>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20" w:type="dxa"/>
            <w:vAlign w:val="bottom"/>
            <w:tcBorders>
              <w:bottom w:val="single" w:sz="8" w:color="auto"/>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 w:type="dxa"/>
            <w:vAlign w:val="bottom"/>
            <w:tcBorders>
              <w:bottom w:val="single" w:sz="8" w:color="auto"/>
            </w:tcBorders>
            <w:shd w:val="clear" w:color="auto" w:fill="CCEEFF"/>
          </w:tcPr>
          <w:p>
            <w:pPr>
              <w:spacing w:after="0"/>
              <w:rPr>
                <w:sz w:val="16"/>
                <w:szCs w:val="16"/>
                <w:color w:val="auto"/>
              </w:rPr>
            </w:pPr>
          </w:p>
        </w:tc>
        <w:tc>
          <w:tcPr>
            <w:tcW w:w="660" w:type="dxa"/>
            <w:vAlign w:val="bottom"/>
            <w:tcBorders>
              <w:bottom w:val="single" w:sz="8" w:color="auto"/>
            </w:tcBorders>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0" w:type="dxa"/>
            <w:vAlign w:val="bottom"/>
            <w:tcBorders>
              <w:bottom w:val="single" w:sz="8" w:color="auto"/>
            </w:tcBorders>
            <w:shd w:val="clear" w:color="auto" w:fill="CCEEFF"/>
          </w:tcPr>
          <w:p>
            <w:pPr>
              <w:spacing w:after="0"/>
              <w:rPr>
                <w:sz w:val="16"/>
                <w:szCs w:val="16"/>
                <w:color w:val="auto"/>
              </w:rPr>
            </w:pPr>
          </w:p>
        </w:tc>
        <w:tc>
          <w:tcPr>
            <w:tcW w:w="160" w:type="dxa"/>
            <w:vAlign w:val="bottom"/>
            <w:gridSpan w:val="2"/>
            <w:shd w:val="clear" w:color="auto" w:fill="CCEEFF"/>
          </w:tcPr>
          <w:p>
            <w:pPr>
              <w:spacing w:after="0"/>
              <w:rPr>
                <w:sz w:val="16"/>
                <w:szCs w:val="16"/>
                <w:color w:val="auto"/>
              </w:rPr>
            </w:pPr>
          </w:p>
        </w:tc>
        <w:tc>
          <w:tcPr>
            <w:tcW w:w="100" w:type="dxa"/>
            <w:vAlign w:val="bottom"/>
            <w:tcBorders>
              <w:bottom w:val="single" w:sz="8" w:color="auto"/>
            </w:tcBorders>
            <w:shd w:val="clear" w:color="auto" w:fill="CCEEFF"/>
          </w:tcPr>
          <w:p>
            <w:pPr>
              <w:spacing w:after="0"/>
              <w:rPr>
                <w:sz w:val="16"/>
                <w:szCs w:val="16"/>
                <w:color w:val="auto"/>
              </w:rPr>
            </w:pPr>
          </w:p>
        </w:tc>
        <w:tc>
          <w:tcPr>
            <w:tcW w:w="660" w:type="dxa"/>
            <w:vAlign w:val="bottom"/>
            <w:tcBorders>
              <w:bottom w:val="single" w:sz="8" w:color="auto"/>
            </w:tcBorders>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20" w:type="dxa"/>
            <w:vAlign w:val="bottom"/>
            <w:tcBorders>
              <w:bottom w:val="single" w:sz="8" w:color="auto"/>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spacing w:after="0"/>
              <w:rPr>
                <w:sz w:val="16"/>
                <w:szCs w:val="16"/>
                <w:color w:val="auto"/>
              </w:rPr>
            </w:pPr>
          </w:p>
        </w:tc>
        <w:tc>
          <w:tcPr>
            <w:tcW w:w="660" w:type="dxa"/>
            <w:vAlign w:val="bottom"/>
            <w:tcBorders>
              <w:bottom w:val="single" w:sz="8" w:color="auto"/>
            </w:tcBorders>
            <w:shd w:val="clear" w:color="auto" w:fill="CCEEFF"/>
          </w:tcPr>
          <w:p>
            <w:pPr>
              <w:spacing w:after="0"/>
              <w:rPr>
                <w:sz w:val="16"/>
                <w:szCs w:val="16"/>
                <w:color w:val="auto"/>
              </w:rPr>
            </w:pPr>
          </w:p>
        </w:tc>
        <w:tc>
          <w:tcPr>
            <w:tcW w:w="140" w:type="dxa"/>
            <w:vAlign w:val="bottom"/>
            <w:tcBorders>
              <w:right w:val="single" w:sz="8" w:color="CCEEFF"/>
            </w:tcBorders>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spacing w:after="0"/>
              <w:rPr>
                <w:sz w:val="16"/>
                <w:szCs w:val="16"/>
                <w:color w:val="auto"/>
              </w:rPr>
            </w:pPr>
          </w:p>
        </w:tc>
        <w:tc>
          <w:tcPr>
            <w:tcW w:w="660" w:type="dxa"/>
            <w:vAlign w:val="bottom"/>
            <w:tcBorders>
              <w:bottom w:val="single" w:sz="8" w:color="auto"/>
              <w:right w:val="single" w:sz="8" w:color="CCEEFF"/>
            </w:tcBorders>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2"/>
        </w:trPr>
        <w:tc>
          <w:tcPr>
            <w:tcW w:w="4040" w:type="dxa"/>
            <w:vAlign w:val="bottom"/>
          </w:tcPr>
          <w:p>
            <w:pPr>
              <w:spacing w:after="0" w:line="212" w:lineRule="exact"/>
              <w:rPr>
                <w:sz w:val="20"/>
                <w:szCs w:val="20"/>
                <w:color w:val="auto"/>
              </w:rPr>
            </w:pPr>
            <w:r>
              <w:rPr>
                <w:rFonts w:ascii="Arial" w:cs="Arial" w:eastAsia="Arial" w:hAnsi="Arial"/>
                <w:sz w:val="15"/>
                <w:szCs w:val="15"/>
                <w:color w:val="auto"/>
              </w:rPr>
              <w:t xml:space="preserve">TOTAL INVESTMENT PORTFOLIO </w:t>
            </w:r>
            <w:r>
              <w:rPr>
                <w:rFonts w:ascii="Arial" w:cs="Arial" w:eastAsia="Arial" w:hAnsi="Arial"/>
                <w:sz w:val="24"/>
                <w:szCs w:val="24"/>
                <w:color w:val="auto"/>
                <w:vertAlign w:val="superscript"/>
              </w:rPr>
              <w:t>(2)</w:t>
            </w:r>
          </w:p>
        </w:tc>
        <w:tc>
          <w:tcPr>
            <w:tcW w:w="10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680" w:type="dxa"/>
            <w:vAlign w:val="bottom"/>
          </w:tcPr>
          <w:p>
            <w:pPr>
              <w:jc w:val="right"/>
              <w:spacing w:after="0"/>
              <w:rPr>
                <w:sz w:val="20"/>
                <w:szCs w:val="20"/>
                <w:color w:val="auto"/>
              </w:rPr>
            </w:pPr>
            <w:r>
              <w:rPr>
                <w:rFonts w:ascii="Arial" w:cs="Arial" w:eastAsia="Arial" w:hAnsi="Arial"/>
                <w:sz w:val="16"/>
                <w:szCs w:val="16"/>
                <w:color w:val="auto"/>
              </w:rPr>
              <w:t>523</w:t>
            </w:r>
          </w:p>
        </w:tc>
        <w:tc>
          <w:tcPr>
            <w:tcW w:w="100" w:type="dxa"/>
            <w:vAlign w:val="bottom"/>
          </w:tcPr>
          <w:p>
            <w:pPr>
              <w:spacing w:after="0"/>
              <w:rPr>
                <w:sz w:val="18"/>
                <w:szCs w:val="18"/>
                <w:color w:val="auto"/>
              </w:rPr>
            </w:pPr>
          </w:p>
        </w:tc>
        <w:tc>
          <w:tcPr>
            <w:tcW w:w="1060" w:type="dxa"/>
            <w:vAlign w:val="bottom"/>
            <w:gridSpan w:val="3"/>
          </w:tcPr>
          <w:p>
            <w:pPr>
              <w:jc w:val="right"/>
              <w:spacing w:after="0"/>
              <w:rPr>
                <w:sz w:val="20"/>
                <w:szCs w:val="20"/>
                <w:color w:val="auto"/>
              </w:rPr>
            </w:pPr>
            <w:r>
              <w:rPr>
                <w:rFonts w:ascii="Arial" w:cs="Arial" w:eastAsia="Arial" w:hAnsi="Arial"/>
                <w:sz w:val="16"/>
                <w:szCs w:val="16"/>
                <w:color w:val="auto"/>
              </w:rPr>
              <w:t>100%$</w:t>
            </w: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389</w:t>
            </w:r>
          </w:p>
        </w:tc>
        <w:tc>
          <w:tcPr>
            <w:tcW w:w="1060" w:type="dxa"/>
            <w:vAlign w:val="bottom"/>
            <w:gridSpan w:val="4"/>
          </w:tcPr>
          <w:p>
            <w:pPr>
              <w:jc w:val="right"/>
              <w:spacing w:after="0"/>
              <w:rPr>
                <w:sz w:val="20"/>
                <w:szCs w:val="20"/>
                <w:color w:val="auto"/>
              </w:rPr>
            </w:pPr>
            <w:r>
              <w:rPr>
                <w:rFonts w:ascii="Arial" w:cs="Arial" w:eastAsia="Arial" w:hAnsi="Arial"/>
                <w:sz w:val="16"/>
                <w:szCs w:val="16"/>
                <w:color w:val="auto"/>
              </w:rPr>
              <w:t>100%$</w:t>
            </w:r>
          </w:p>
        </w:tc>
        <w:tc>
          <w:tcPr>
            <w:tcW w:w="760" w:type="dxa"/>
            <w:vAlign w:val="bottom"/>
            <w:gridSpan w:val="2"/>
          </w:tcPr>
          <w:p>
            <w:pPr>
              <w:jc w:val="right"/>
              <w:ind w:right="100"/>
              <w:spacing w:after="0"/>
              <w:rPr>
                <w:sz w:val="20"/>
                <w:szCs w:val="20"/>
                <w:color w:val="auto"/>
              </w:rPr>
            </w:pPr>
            <w:r>
              <w:rPr>
                <w:rFonts w:ascii="Arial" w:cs="Arial" w:eastAsia="Arial" w:hAnsi="Arial"/>
                <w:sz w:val="16"/>
                <w:szCs w:val="16"/>
                <w:color w:val="auto"/>
              </w:rPr>
              <w:t>96</w:t>
            </w:r>
          </w:p>
        </w:tc>
        <w:tc>
          <w:tcPr>
            <w:tcW w:w="1040" w:type="dxa"/>
            <w:vAlign w:val="bottom"/>
            <w:gridSpan w:val="3"/>
          </w:tcPr>
          <w:p>
            <w:pPr>
              <w:jc w:val="right"/>
              <w:spacing w:after="0"/>
              <w:rPr>
                <w:sz w:val="20"/>
                <w:szCs w:val="20"/>
                <w:color w:val="auto"/>
              </w:rPr>
            </w:pPr>
            <w:r>
              <w:rPr>
                <w:rFonts w:ascii="Arial" w:cs="Arial" w:eastAsia="Arial" w:hAnsi="Arial"/>
                <w:sz w:val="16"/>
                <w:szCs w:val="16"/>
                <w:color w:val="auto"/>
              </w:rPr>
              <w:t>100%$</w:t>
            </w:r>
          </w:p>
        </w:tc>
        <w:tc>
          <w:tcPr>
            <w:tcW w:w="800" w:type="dxa"/>
            <w:vAlign w:val="bottom"/>
            <w:gridSpan w:val="2"/>
          </w:tcPr>
          <w:p>
            <w:pPr>
              <w:jc w:val="right"/>
              <w:ind w:right="140"/>
              <w:spacing w:after="0"/>
              <w:rPr>
                <w:sz w:val="20"/>
                <w:szCs w:val="20"/>
                <w:color w:val="auto"/>
              </w:rPr>
            </w:pPr>
            <w:r>
              <w:rPr>
                <w:rFonts w:ascii="Arial" w:cs="Arial" w:eastAsia="Arial" w:hAnsi="Arial"/>
                <w:sz w:val="16"/>
                <w:szCs w:val="16"/>
                <w:color w:val="auto"/>
              </w:rPr>
              <w:t>134</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tcPr>
          <w:p>
            <w:pPr>
              <w:jc w:val="right"/>
              <w:spacing w:after="0"/>
              <w:rPr>
                <w:sz w:val="20"/>
                <w:szCs w:val="20"/>
                <w:color w:val="auto"/>
              </w:rPr>
            </w:pPr>
            <w:r>
              <w:rPr>
                <w:rFonts w:ascii="Arial" w:cs="Arial" w:eastAsia="Arial" w:hAnsi="Arial"/>
                <w:sz w:val="16"/>
                <w:szCs w:val="16"/>
                <w:color w:val="auto"/>
              </w:rPr>
              <w:t>427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0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60" w:type="dxa"/>
            <w:vAlign w:val="bottom"/>
            <w:tcBorders>
              <w:right w:val="single" w:sz="8" w:color="auto"/>
            </w:tcBorders>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252" w:lineRule="exact"/>
        <w:rPr>
          <w:sz w:val="20"/>
          <w:szCs w:val="20"/>
          <w:color w:val="auto"/>
        </w:rPr>
      </w:pPr>
    </w:p>
    <w:p>
      <w:pPr>
        <w:ind w:left="202" w:hanging="202"/>
        <w:spacing w:after="0"/>
        <w:tabs>
          <w:tab w:leader="none" w:pos="202" w:val="left"/>
        </w:tabs>
        <w:numPr>
          <w:ilvl w:val="0"/>
          <w:numId w:val="11"/>
        </w:numPr>
        <w:rPr>
          <w:rFonts w:ascii="Arial" w:cs="Arial" w:eastAsia="Arial" w:hAnsi="Arial"/>
          <w:sz w:val="24"/>
          <w:szCs w:val="24"/>
          <w:color w:val="auto"/>
          <w:vertAlign w:val="superscript"/>
        </w:rPr>
      </w:pPr>
      <w:r>
        <w:rPr>
          <w:rFonts w:ascii="Arial" w:cs="Arial" w:eastAsia="Arial" w:hAnsi="Arial"/>
          <w:sz w:val="15"/>
          <w:szCs w:val="15"/>
          <w:color w:val="auto"/>
        </w:rPr>
        <w:t>Risk in highly rated countries outside the Region.</w:t>
      </w:r>
    </w:p>
    <w:p>
      <w:pPr>
        <w:spacing w:after="0" w:line="38" w:lineRule="exact"/>
        <w:rPr>
          <w:rFonts w:ascii="Arial" w:cs="Arial" w:eastAsia="Arial" w:hAnsi="Arial"/>
          <w:sz w:val="24"/>
          <w:szCs w:val="24"/>
          <w:color w:val="auto"/>
          <w:vertAlign w:val="superscript"/>
        </w:rPr>
      </w:pPr>
    </w:p>
    <w:p>
      <w:pPr>
        <w:ind w:left="202" w:hanging="202"/>
        <w:spacing w:after="0" w:line="183" w:lineRule="auto"/>
        <w:tabs>
          <w:tab w:leader="none" w:pos="202" w:val="left"/>
        </w:tabs>
        <w:numPr>
          <w:ilvl w:val="0"/>
          <w:numId w:val="11"/>
        </w:numPr>
        <w:rPr>
          <w:rFonts w:ascii="Arial" w:cs="Arial" w:eastAsia="Arial" w:hAnsi="Arial"/>
          <w:sz w:val="22"/>
          <w:szCs w:val="22"/>
          <w:color w:val="auto"/>
          <w:vertAlign w:val="superscript"/>
        </w:rPr>
      </w:pPr>
      <w:r>
        <w:rPr>
          <w:rFonts w:ascii="Arial" w:cs="Arial" w:eastAsia="Arial" w:hAnsi="Arial"/>
          <w:sz w:val="14"/>
          <w:szCs w:val="14"/>
          <w:color w:val="auto"/>
        </w:rPr>
        <w:t>Includes securities at FVOCI and at amortized cost, gross of interest receivable and the allowance for losses.</w:t>
      </w:r>
    </w:p>
    <w:p>
      <w:pPr>
        <w:spacing w:after="0" w:line="379"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10928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clrChange>
                        <a:clrFrom>
                          <a:srgbClr val="FFFFFF"/>
                        </a:clrFrom>
                        <a:clrTo>
                          <a:srgbClr val="FFFFFF">
                            <a:alpha val="0"/>
                          </a:srgbClr>
                        </a:clrTo>
                      </a:clrChange>
                      <a:extLst>
                        <a:ext uri="{28A0092B-C50C-407E-A947-70E740481C1C}"/>
                      </a:extLst>
                    </a:blip>
                    <a:srcRect/>
                    <a:stretch>
                      <a:fillRect/>
                    </a:stretch>
                  </pic:blipFill>
                  <pic:spPr bwMode="auto">
                    <a:xfrm>
                      <a:off x="0" y="0"/>
                      <a:ext cx="7202170" cy="1092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tbl>
      <w:tblPr>
        <w:tblLayout w:type="fixed"/>
        <w:tblInd w:w="2" w:type="dxa"/>
        <w:tblCellMar>
          <w:top w:w="0" w:type="dxa"/>
          <w:left w:w="0" w:type="dxa"/>
          <w:bottom w:w="0" w:type="dxa"/>
          <w:right w:w="0" w:type="dxa"/>
        </w:tblCellMar>
      </w:tblPr>
      <w:tr>
        <w:trPr>
          <w:trHeight w:val="207"/>
        </w:trPr>
        <w:tc>
          <w:tcPr>
            <w:tcW w:w="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960" w:type="dxa"/>
            <w:vAlign w:val="bottom"/>
            <w:gridSpan w:val="4"/>
          </w:tcPr>
          <w:p>
            <w:pPr>
              <w:jc w:val="right"/>
              <w:ind w:right="100"/>
              <w:spacing w:after="0"/>
              <w:rPr>
                <w:sz w:val="20"/>
                <w:szCs w:val="20"/>
                <w:color w:val="auto"/>
              </w:rPr>
            </w:pPr>
            <w:r>
              <w:rPr>
                <w:rFonts w:ascii="Arial" w:cs="Arial" w:eastAsia="Arial" w:hAnsi="Arial"/>
                <w:sz w:val="16"/>
                <w:szCs w:val="16"/>
                <w:color w:val="auto"/>
              </w:rPr>
              <w:t>EXHIBIT XI</w:t>
            </w:r>
          </w:p>
        </w:tc>
        <w:tc>
          <w:tcPr>
            <w:tcW w:w="0" w:type="dxa"/>
            <w:vAlign w:val="bottom"/>
          </w:tcPr>
          <w:p>
            <w:pPr>
              <w:spacing w:after="0"/>
              <w:rPr>
                <w:sz w:val="1"/>
                <w:szCs w:val="1"/>
                <w:color w:val="auto"/>
              </w:rPr>
            </w:pPr>
          </w:p>
        </w:tc>
      </w:tr>
      <w:tr>
        <w:trPr>
          <w:trHeight w:val="379"/>
        </w:trPr>
        <w:tc>
          <w:tcPr>
            <w:tcW w:w="2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500" w:type="dxa"/>
            <w:vAlign w:val="bottom"/>
            <w:gridSpan w:val="8"/>
          </w:tcPr>
          <w:p>
            <w:pPr>
              <w:jc w:val="center"/>
              <w:ind w:left="259"/>
              <w:spacing w:after="0"/>
              <w:rPr>
                <w:sz w:val="20"/>
                <w:szCs w:val="20"/>
                <w:color w:val="auto"/>
              </w:rPr>
            </w:pPr>
            <w:r>
              <w:rPr>
                <w:rFonts w:ascii="Arial" w:cs="Arial" w:eastAsia="Arial" w:hAnsi="Arial"/>
                <w:sz w:val="16"/>
                <w:szCs w:val="16"/>
                <w:color w:val="auto"/>
                <w:w w:val="99"/>
              </w:rPr>
              <w:t>LOAN DISBURSEMENTS</w:t>
            </w: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740" w:type="dxa"/>
            <w:vAlign w:val="bottom"/>
            <w:gridSpan w:val="10"/>
          </w:tcPr>
          <w:p>
            <w:pPr>
              <w:jc w:val="center"/>
              <w:ind w:left="39"/>
              <w:spacing w:after="0"/>
              <w:rPr>
                <w:sz w:val="20"/>
                <w:szCs w:val="20"/>
                <w:color w:val="auto"/>
              </w:rPr>
            </w:pPr>
            <w:r>
              <w:rPr>
                <w:rFonts w:ascii="Arial" w:cs="Arial" w:eastAsia="Arial" w:hAnsi="Arial"/>
                <w:sz w:val="16"/>
                <w:szCs w:val="16"/>
                <w:color w:val="auto"/>
                <w:w w:val="99"/>
              </w:rPr>
              <w:t>DISTRIBUTION BY COUNTRY</w:t>
            </w:r>
          </w:p>
        </w:tc>
        <w:tc>
          <w:tcPr>
            <w:tcW w:w="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20" w:type="dxa"/>
            <w:vAlign w:val="bottom"/>
            <w:gridSpan w:val="5"/>
          </w:tcPr>
          <w:p>
            <w:pPr>
              <w:jc w:val="center"/>
              <w:ind w:right="540"/>
              <w:spacing w:after="0"/>
              <w:rPr>
                <w:sz w:val="20"/>
                <w:szCs w:val="20"/>
                <w:color w:val="auto"/>
              </w:rPr>
            </w:pPr>
            <w:r>
              <w:rPr>
                <w:rFonts w:ascii="Arial" w:cs="Arial" w:eastAsia="Arial" w:hAnsi="Arial"/>
                <w:sz w:val="16"/>
                <w:szCs w:val="16"/>
                <w:color w:val="auto"/>
                <w:w w:val="98"/>
              </w:rPr>
              <w:t>(In US$ million)</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03"/>
        </w:trPr>
        <w:tc>
          <w:tcPr>
            <w:tcW w:w="2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700" w:type="dxa"/>
            <w:vAlign w:val="bottom"/>
            <w:gridSpan w:val="5"/>
          </w:tcPr>
          <w:p>
            <w:pPr>
              <w:ind w:left="140"/>
              <w:spacing w:after="0"/>
              <w:rPr>
                <w:sz w:val="20"/>
                <w:szCs w:val="20"/>
                <w:color w:val="auto"/>
              </w:rPr>
            </w:pPr>
            <w:r>
              <w:rPr>
                <w:rFonts w:ascii="Arial" w:cs="Arial" w:eastAsia="Arial" w:hAnsi="Arial"/>
                <w:sz w:val="16"/>
                <w:szCs w:val="16"/>
                <w:color w:val="auto"/>
              </w:rPr>
              <w:t>YEAR-TO-DATE</w:t>
            </w:r>
          </w:p>
        </w:tc>
        <w:tc>
          <w:tcPr>
            <w:tcW w:w="1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980" w:type="dxa"/>
            <w:vAlign w:val="bottom"/>
            <w:gridSpan w:val="4"/>
          </w:tcPr>
          <w:p>
            <w:pPr>
              <w:jc w:val="center"/>
              <w:ind w:right="20"/>
              <w:spacing w:after="0"/>
              <w:rPr>
                <w:sz w:val="20"/>
                <w:szCs w:val="20"/>
                <w:color w:val="auto"/>
              </w:rPr>
            </w:pPr>
            <w:r>
              <w:rPr>
                <w:rFonts w:ascii="Arial" w:cs="Arial" w:eastAsia="Arial" w:hAnsi="Arial"/>
                <w:sz w:val="16"/>
                <w:szCs w:val="16"/>
                <w:color w:val="auto"/>
                <w:w w:val="98"/>
              </w:rPr>
              <w:t>QUARTERLY</w:t>
            </w:r>
          </w:p>
        </w:tc>
        <w:tc>
          <w:tcPr>
            <w:tcW w:w="1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600" w:type="dxa"/>
            <w:vAlign w:val="bottom"/>
            <w:gridSpan w:val="10"/>
          </w:tcPr>
          <w:p>
            <w:pPr>
              <w:jc w:val="right"/>
              <w:ind w:right="780"/>
              <w:spacing w:after="0"/>
              <w:rPr>
                <w:sz w:val="20"/>
                <w:szCs w:val="20"/>
                <w:color w:val="auto"/>
              </w:rPr>
            </w:pPr>
            <w:r>
              <w:rPr>
                <w:rFonts w:ascii="Arial" w:cs="Arial" w:eastAsia="Arial" w:hAnsi="Arial"/>
                <w:sz w:val="16"/>
                <w:szCs w:val="16"/>
                <w:color w:val="auto"/>
              </w:rPr>
              <w:t>Change in Amount</w:t>
            </w:r>
          </w:p>
        </w:tc>
        <w:tc>
          <w:tcPr>
            <w:tcW w:w="0" w:type="dxa"/>
            <w:vAlign w:val="bottom"/>
          </w:tcPr>
          <w:p>
            <w:pPr>
              <w:spacing w:after="0"/>
              <w:rPr>
                <w:sz w:val="1"/>
                <w:szCs w:val="1"/>
                <w:color w:val="auto"/>
              </w:rPr>
            </w:pPr>
          </w:p>
        </w:tc>
      </w:tr>
      <w:tr>
        <w:trPr>
          <w:trHeight w:val="188"/>
        </w:trPr>
        <w:tc>
          <w:tcPr>
            <w:tcW w:w="4060" w:type="dxa"/>
            <w:vAlign w:val="bottom"/>
            <w:gridSpan w:val="2"/>
            <w:vMerge w:val="restart"/>
          </w:tcPr>
          <w:p>
            <w:pPr>
              <w:spacing w:after="0"/>
              <w:rPr>
                <w:sz w:val="20"/>
                <w:szCs w:val="20"/>
                <w:color w:val="auto"/>
              </w:rPr>
            </w:pPr>
            <w:r>
              <w:rPr>
                <w:rFonts w:ascii="Arial" w:cs="Arial" w:eastAsia="Arial" w:hAnsi="Arial"/>
                <w:sz w:val="16"/>
                <w:szCs w:val="16"/>
                <w:color w:val="auto"/>
              </w:rPr>
              <w:t>COUNTRY</w:t>
            </w:r>
          </w:p>
        </w:tc>
        <w:tc>
          <w:tcPr>
            <w:tcW w:w="14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gridSpan w:val="2"/>
          </w:tcPr>
          <w:p>
            <w:pPr>
              <w:jc w:val="right"/>
              <w:ind w:right="400"/>
              <w:spacing w:after="0"/>
              <w:rPr>
                <w:sz w:val="20"/>
                <w:szCs w:val="20"/>
                <w:color w:val="auto"/>
              </w:rPr>
            </w:pPr>
            <w:r>
              <w:rPr>
                <w:rFonts w:ascii="Arial" w:cs="Arial" w:eastAsia="Arial" w:hAnsi="Arial"/>
                <w:sz w:val="16"/>
                <w:szCs w:val="16"/>
                <w:color w:val="auto"/>
              </w:rPr>
              <w:t>(A)</w:t>
            </w:r>
          </w:p>
        </w:tc>
        <w:tc>
          <w:tcPr>
            <w:tcW w:w="1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jc w:val="center"/>
              <w:ind w:right="19"/>
              <w:spacing w:after="0"/>
              <w:rPr>
                <w:sz w:val="20"/>
                <w:szCs w:val="20"/>
                <w:color w:val="auto"/>
              </w:rPr>
            </w:pPr>
            <w:r>
              <w:rPr>
                <w:rFonts w:ascii="Arial" w:cs="Arial" w:eastAsia="Arial" w:hAnsi="Arial"/>
                <w:sz w:val="16"/>
                <w:szCs w:val="16"/>
                <w:color w:val="auto"/>
              </w:rPr>
              <w:t>(B)</w:t>
            </w:r>
          </w:p>
        </w:tc>
        <w:tc>
          <w:tcPr>
            <w:tcW w:w="10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6"/>
                <w:szCs w:val="16"/>
                <w:color w:val="auto"/>
              </w:rPr>
              <w:t>(C)</w:t>
            </w:r>
          </w:p>
        </w:tc>
        <w:tc>
          <w:tcPr>
            <w:tcW w:w="1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74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6"/>
                <w:szCs w:val="16"/>
                <w:color w:val="auto"/>
                <w:w w:val="98"/>
              </w:rPr>
              <w:t>(D)</w:t>
            </w:r>
          </w:p>
        </w:tc>
        <w:tc>
          <w:tcPr>
            <w:tcW w:w="160" w:type="dxa"/>
            <w:vAlign w:val="bottom"/>
            <w:tcBorders>
              <w:top w:val="single" w:sz="8" w:color="auto"/>
            </w:tcBorders>
          </w:tcPr>
          <w:p>
            <w:pPr>
              <w:spacing w:after="0"/>
              <w:rPr>
                <w:sz w:val="16"/>
                <w:szCs w:val="16"/>
                <w:color w:val="auto"/>
              </w:rPr>
            </w:pPr>
          </w:p>
        </w:tc>
        <w:tc>
          <w:tcPr>
            <w:tcW w:w="620" w:type="dxa"/>
            <w:vAlign w:val="bottom"/>
            <w:tcBorders>
              <w:top w:val="single" w:sz="8" w:color="auto"/>
            </w:tcBorders>
          </w:tcPr>
          <w:p>
            <w:pPr>
              <w:jc w:val="right"/>
              <w:ind w:right="199"/>
              <w:spacing w:after="0"/>
              <w:rPr>
                <w:sz w:val="20"/>
                <w:szCs w:val="20"/>
                <w:color w:val="auto"/>
              </w:rPr>
            </w:pPr>
            <w:r>
              <w:rPr>
                <w:rFonts w:ascii="Arial" w:cs="Arial" w:eastAsia="Arial" w:hAnsi="Arial"/>
                <w:sz w:val="16"/>
                <w:szCs w:val="16"/>
                <w:color w:val="auto"/>
              </w:rPr>
              <w:t>(E)</w:t>
            </w:r>
          </w:p>
        </w:tc>
        <w:tc>
          <w:tcPr>
            <w:tcW w:w="12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7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7"/>
        </w:trPr>
        <w:tc>
          <w:tcPr>
            <w:tcW w:w="4060" w:type="dxa"/>
            <w:vAlign w:val="bottom"/>
            <w:gridSpan w:val="2"/>
            <w:vMerge w:val="continue"/>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gridSpan w:val="2"/>
          </w:tcPr>
          <w:p>
            <w:pPr>
              <w:jc w:val="right"/>
              <w:ind w:right="320"/>
              <w:spacing w:after="0"/>
              <w:rPr>
                <w:sz w:val="20"/>
                <w:szCs w:val="20"/>
                <w:color w:val="auto"/>
              </w:rPr>
            </w:pPr>
            <w:r>
              <w:rPr>
                <w:rFonts w:ascii="Arial" w:cs="Arial" w:eastAsia="Arial" w:hAnsi="Arial"/>
                <w:sz w:val="16"/>
                <w:szCs w:val="16"/>
                <w:color w:val="auto"/>
              </w:rPr>
              <w:t>6M21</w:t>
            </w:r>
          </w:p>
        </w:tc>
        <w:tc>
          <w:tcPr>
            <w:tcW w:w="100" w:type="dxa"/>
            <w:vAlign w:val="bottom"/>
          </w:tcPr>
          <w:p>
            <w:pPr>
              <w:spacing w:after="0"/>
              <w:rPr>
                <w:sz w:val="17"/>
                <w:szCs w:val="17"/>
                <w:color w:val="auto"/>
              </w:rPr>
            </w:pPr>
          </w:p>
        </w:tc>
        <w:tc>
          <w:tcPr>
            <w:tcW w:w="820" w:type="dxa"/>
            <w:vAlign w:val="bottom"/>
            <w:gridSpan w:val="2"/>
          </w:tcPr>
          <w:p>
            <w:pPr>
              <w:jc w:val="center"/>
              <w:ind w:right="200"/>
              <w:spacing w:after="0"/>
              <w:rPr>
                <w:sz w:val="20"/>
                <w:szCs w:val="20"/>
                <w:color w:val="auto"/>
              </w:rPr>
            </w:pPr>
            <w:r>
              <w:rPr>
                <w:rFonts w:ascii="Arial" w:cs="Arial" w:eastAsia="Arial" w:hAnsi="Arial"/>
                <w:sz w:val="16"/>
                <w:szCs w:val="16"/>
                <w:color w:val="auto"/>
                <w:w w:val="94"/>
              </w:rPr>
              <w:t>6M20</w:t>
            </w:r>
          </w:p>
        </w:tc>
        <w:tc>
          <w:tcPr>
            <w:tcW w:w="160" w:type="dxa"/>
            <w:vAlign w:val="bottom"/>
          </w:tcPr>
          <w:p>
            <w:pPr>
              <w:spacing w:after="0"/>
              <w:rPr>
                <w:sz w:val="17"/>
                <w:szCs w:val="17"/>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6"/>
                <w:szCs w:val="16"/>
                <w:color w:val="auto"/>
              </w:rPr>
              <w:t>2Q21</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gridSpan w:val="2"/>
          </w:tcPr>
          <w:p>
            <w:pPr>
              <w:jc w:val="center"/>
              <w:ind w:right="260"/>
              <w:spacing w:after="0"/>
              <w:rPr>
                <w:sz w:val="20"/>
                <w:szCs w:val="20"/>
                <w:color w:val="auto"/>
              </w:rPr>
            </w:pPr>
            <w:r>
              <w:rPr>
                <w:rFonts w:ascii="Arial" w:cs="Arial" w:eastAsia="Arial" w:hAnsi="Arial"/>
                <w:sz w:val="16"/>
                <w:szCs w:val="16"/>
                <w:color w:val="auto"/>
                <w:w w:val="91"/>
              </w:rPr>
              <w:t>1Q21</w:t>
            </w:r>
          </w:p>
        </w:tc>
        <w:tc>
          <w:tcPr>
            <w:tcW w:w="160" w:type="dxa"/>
            <w:vAlign w:val="bottom"/>
          </w:tcPr>
          <w:p>
            <w:pPr>
              <w:spacing w:after="0"/>
              <w:rPr>
                <w:sz w:val="17"/>
                <w:szCs w:val="17"/>
                <w:color w:val="auto"/>
              </w:rPr>
            </w:pPr>
          </w:p>
        </w:tc>
        <w:tc>
          <w:tcPr>
            <w:tcW w:w="740" w:type="dxa"/>
            <w:vAlign w:val="bottom"/>
            <w:gridSpan w:val="2"/>
          </w:tcPr>
          <w:p>
            <w:pPr>
              <w:jc w:val="right"/>
              <w:ind w:right="320"/>
              <w:spacing w:after="0"/>
              <w:rPr>
                <w:sz w:val="20"/>
                <w:szCs w:val="20"/>
                <w:color w:val="auto"/>
              </w:rPr>
            </w:pPr>
            <w:r>
              <w:rPr>
                <w:rFonts w:ascii="Arial" w:cs="Arial" w:eastAsia="Arial" w:hAnsi="Arial"/>
                <w:sz w:val="16"/>
                <w:szCs w:val="16"/>
                <w:color w:val="auto"/>
              </w:rPr>
              <w:t>2Q20</w:t>
            </w:r>
          </w:p>
        </w:tc>
        <w:tc>
          <w:tcPr>
            <w:tcW w:w="80" w:type="dxa"/>
            <w:vAlign w:val="bottom"/>
          </w:tcPr>
          <w:p>
            <w:pPr>
              <w:spacing w:after="0"/>
              <w:rPr>
                <w:sz w:val="17"/>
                <w:szCs w:val="17"/>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6"/>
                <w:szCs w:val="16"/>
                <w:color w:val="auto"/>
              </w:rPr>
              <w:t>(A) - (B)</w:t>
            </w: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6"/>
                <w:szCs w:val="16"/>
                <w:color w:val="auto"/>
                <w:w w:val="95"/>
              </w:rPr>
              <w:t>(C) - (D)</w:t>
            </w: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6"/>
                <w:szCs w:val="16"/>
                <w:color w:val="auto"/>
                <w:w w:val="96"/>
              </w:rPr>
              <w:t>(C) - (E)</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ARGENTINA</w:t>
            </w: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0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jc w:val="right"/>
              <w:ind w:right="4"/>
              <w:spacing w:after="0"/>
              <w:rPr>
                <w:sz w:val="20"/>
                <w:szCs w:val="20"/>
                <w:color w:val="auto"/>
              </w:rPr>
            </w:pPr>
            <w:r>
              <w:rPr>
                <w:rFonts w:ascii="Arial" w:cs="Arial" w:eastAsia="Arial" w:hAnsi="Arial"/>
                <w:sz w:val="15"/>
                <w:szCs w:val="15"/>
                <w:color w:val="auto"/>
                <w:w w:val="71"/>
              </w:rPr>
              <w:t>$</w:t>
            </w:r>
          </w:p>
        </w:tc>
        <w:tc>
          <w:tcPr>
            <w:tcW w:w="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jc w:val="right"/>
              <w:ind w:right="4"/>
              <w:spacing w:after="0"/>
              <w:rPr>
                <w:sz w:val="20"/>
                <w:szCs w:val="20"/>
                <w:color w:val="auto"/>
              </w:rPr>
            </w:pPr>
            <w:r>
              <w:rPr>
                <w:rFonts w:ascii="Arial" w:cs="Arial" w:eastAsia="Arial" w:hAnsi="Arial"/>
                <w:sz w:val="15"/>
                <w:szCs w:val="15"/>
                <w:color w:val="auto"/>
                <w:w w:val="71"/>
              </w:rPr>
              <w:t>$</w:t>
            </w:r>
          </w:p>
        </w:tc>
        <w:tc>
          <w:tcPr>
            <w:tcW w:w="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6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BOLIVIA</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12</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7</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5</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12</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2</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558</w:t>
            </w:r>
          </w:p>
        </w:tc>
        <w:tc>
          <w:tcPr>
            <w:tcW w:w="1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337</w:t>
            </w:r>
          </w:p>
        </w:tc>
        <w:tc>
          <w:tcPr>
            <w:tcW w:w="16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271</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287</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53</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221</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218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CHILE</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615</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146</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268</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347</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82</w:t>
            </w:r>
          </w:p>
        </w:tc>
        <w:tc>
          <w:tcPr>
            <w:tcW w:w="80" w:type="dxa"/>
            <w:vAlign w:val="bottom"/>
          </w:tcPr>
          <w:p>
            <w:pPr>
              <w:spacing w:after="0"/>
              <w:rPr>
                <w:sz w:val="16"/>
                <w:szCs w:val="16"/>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6"/>
                <w:szCs w:val="16"/>
                <w:color w:val="auto"/>
              </w:rPr>
              <w:t>469</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spacing w:after="0"/>
              <w:rPr>
                <w:sz w:val="20"/>
                <w:szCs w:val="20"/>
                <w:color w:val="auto"/>
              </w:rPr>
            </w:pPr>
            <w:r>
              <w:rPr>
                <w:rFonts w:ascii="Arial" w:cs="Arial" w:eastAsia="Arial" w:hAnsi="Arial"/>
                <w:sz w:val="16"/>
                <w:szCs w:val="16"/>
                <w:color w:val="auto"/>
              </w:rPr>
              <w:t>(79)</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186</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600</w:t>
            </w:r>
          </w:p>
        </w:tc>
        <w:tc>
          <w:tcPr>
            <w:tcW w:w="1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403</w:t>
            </w:r>
          </w:p>
        </w:tc>
        <w:tc>
          <w:tcPr>
            <w:tcW w:w="16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260</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340</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49</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197</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(80)</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211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COSTA RICA</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36</w:t>
            </w:r>
          </w:p>
        </w:tc>
        <w:tc>
          <w:tcPr>
            <w:tcW w:w="10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73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6"/>
                <w:szCs w:val="16"/>
                <w:color w:val="auto"/>
              </w:rPr>
              <w:t>13</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23</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16"/>
                <w:szCs w:val="16"/>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6"/>
                <w:szCs w:val="16"/>
                <w:color w:val="auto"/>
              </w:rPr>
              <w:t>(37)</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spacing w:after="0"/>
              <w:rPr>
                <w:sz w:val="20"/>
                <w:szCs w:val="20"/>
                <w:color w:val="auto"/>
              </w:rPr>
            </w:pPr>
            <w:r>
              <w:rPr>
                <w:rFonts w:ascii="Arial" w:cs="Arial" w:eastAsia="Arial" w:hAnsi="Arial"/>
                <w:sz w:val="16"/>
                <w:szCs w:val="16"/>
                <w:color w:val="auto"/>
              </w:rPr>
              <w:t>(10)</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7</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376</w:t>
            </w:r>
          </w:p>
        </w:tc>
        <w:tc>
          <w:tcPr>
            <w:tcW w:w="1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207</w:t>
            </w:r>
          </w:p>
        </w:tc>
        <w:tc>
          <w:tcPr>
            <w:tcW w:w="16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193</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183</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87</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169</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10</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106</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ECUADOR</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197</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5</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5</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26</w:t>
            </w:r>
          </w:p>
        </w:tc>
        <w:tc>
          <w:tcPr>
            <w:tcW w:w="80" w:type="dxa"/>
            <w:vAlign w:val="bottom"/>
          </w:tcPr>
          <w:p>
            <w:pPr>
              <w:spacing w:after="0"/>
              <w:rPr>
                <w:sz w:val="16"/>
                <w:szCs w:val="16"/>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6"/>
                <w:szCs w:val="16"/>
                <w:color w:val="auto"/>
              </w:rPr>
              <w:t>(187)</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0</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6"/>
                <w:szCs w:val="16"/>
                <w:color w:val="auto"/>
              </w:rPr>
              <w:t>(21)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w:t>
            </w:r>
          </w:p>
        </w:tc>
        <w:tc>
          <w:tcPr>
            <w:tcW w:w="100" w:type="dxa"/>
            <w:vAlign w:val="bottom"/>
            <w:shd w:val="clear" w:color="auto" w:fill="CCEEFF"/>
          </w:tcPr>
          <w:p>
            <w:pPr>
              <w:spacing w:after="0"/>
              <w:rPr>
                <w:sz w:val="16"/>
                <w:szCs w:val="16"/>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37</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30</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w:t>
            </w:r>
          </w:p>
        </w:tc>
        <w:tc>
          <w:tcPr>
            <w:tcW w:w="8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GUATEMALA</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252</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112</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153</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99</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69</w:t>
            </w:r>
          </w:p>
        </w:tc>
        <w:tc>
          <w:tcPr>
            <w:tcW w:w="80" w:type="dxa"/>
            <w:vAlign w:val="bottom"/>
          </w:tcPr>
          <w:p>
            <w:pPr>
              <w:spacing w:after="0"/>
              <w:rPr>
                <w:sz w:val="16"/>
                <w:szCs w:val="16"/>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6"/>
                <w:szCs w:val="16"/>
                <w:color w:val="auto"/>
              </w:rPr>
              <w:t>140</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54</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84</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24</w:t>
            </w:r>
          </w:p>
        </w:tc>
        <w:tc>
          <w:tcPr>
            <w:tcW w:w="100" w:type="dxa"/>
            <w:vAlign w:val="bottom"/>
            <w:shd w:val="clear" w:color="auto" w:fill="CCEEFF"/>
          </w:tcPr>
          <w:p>
            <w:pPr>
              <w:spacing w:after="0"/>
              <w:rPr>
                <w:sz w:val="16"/>
                <w:szCs w:val="16"/>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10</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45</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(36)</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4</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JAMAICA</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137</w:t>
            </w:r>
          </w:p>
        </w:tc>
        <w:tc>
          <w:tcPr>
            <w:tcW w:w="10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99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6"/>
                <w:szCs w:val="16"/>
                <w:color w:val="auto"/>
              </w:rPr>
              <w:t>74</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63</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22</w:t>
            </w:r>
          </w:p>
        </w:tc>
        <w:tc>
          <w:tcPr>
            <w:tcW w:w="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38</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11</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52</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1,170</w:t>
            </w:r>
          </w:p>
        </w:tc>
        <w:tc>
          <w:tcPr>
            <w:tcW w:w="1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1,141</w:t>
            </w:r>
          </w:p>
        </w:tc>
        <w:tc>
          <w:tcPr>
            <w:tcW w:w="16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662</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508</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159</w:t>
            </w:r>
          </w:p>
        </w:tc>
        <w:tc>
          <w:tcPr>
            <w:tcW w:w="8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154</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503</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PANAMA</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298</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335</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192</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106</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123</w:t>
            </w:r>
          </w:p>
        </w:tc>
        <w:tc>
          <w:tcPr>
            <w:tcW w:w="80" w:type="dxa"/>
            <w:vAlign w:val="bottom"/>
          </w:tcPr>
          <w:p>
            <w:pPr>
              <w:spacing w:after="0"/>
              <w:rPr>
                <w:sz w:val="16"/>
                <w:szCs w:val="16"/>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6"/>
                <w:szCs w:val="16"/>
                <w:color w:val="auto"/>
              </w:rPr>
              <w:t>(37)</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86</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69</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78</w:t>
            </w:r>
          </w:p>
        </w:tc>
        <w:tc>
          <w:tcPr>
            <w:tcW w:w="100" w:type="dxa"/>
            <w:vAlign w:val="bottom"/>
            <w:shd w:val="clear" w:color="auto" w:fill="CCEEFF"/>
          </w:tcPr>
          <w:p>
            <w:pPr>
              <w:spacing w:after="0"/>
              <w:rPr>
                <w:sz w:val="16"/>
                <w:szCs w:val="16"/>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71</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63</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43</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(48)</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(28)</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PERU</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215</w:t>
            </w:r>
          </w:p>
        </w:tc>
        <w:tc>
          <w:tcPr>
            <w:tcW w:w="1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142</w:t>
            </w:r>
          </w:p>
        </w:tc>
        <w:tc>
          <w:tcPr>
            <w:tcW w:w="160" w:type="dxa"/>
            <w:vAlign w:val="bottom"/>
          </w:tcPr>
          <w:p>
            <w:pPr>
              <w:spacing w:after="0"/>
              <w:rPr>
                <w:sz w:val="16"/>
                <w:szCs w:val="16"/>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6"/>
                <w:szCs w:val="16"/>
                <w:color w:val="auto"/>
              </w:rPr>
              <w:t>109</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106</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9</w:t>
            </w:r>
          </w:p>
        </w:tc>
        <w:tc>
          <w:tcPr>
            <w:tcW w:w="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73</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6"/>
                <w:szCs w:val="16"/>
                <w:color w:val="auto"/>
              </w:rPr>
              <w:t>3</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100</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TRINIDAD &amp; TOBAGO</w:t>
            </w:r>
          </w:p>
        </w:tc>
        <w:tc>
          <w:tcPr>
            <w:tcW w:w="14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6"/>
                <w:szCs w:val="16"/>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(10)</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040" w:type="dxa"/>
            <w:vAlign w:val="bottom"/>
          </w:tcPr>
          <w:p>
            <w:pPr>
              <w:spacing w:after="0"/>
              <w:rPr>
                <w:sz w:val="20"/>
                <w:szCs w:val="20"/>
                <w:color w:val="auto"/>
              </w:rPr>
            </w:pPr>
            <w:r>
              <w:rPr>
                <w:rFonts w:ascii="Arial" w:cs="Arial" w:eastAsia="Arial" w:hAnsi="Arial"/>
                <w:sz w:val="16"/>
                <w:szCs w:val="16"/>
                <w:color w:val="auto"/>
              </w:rPr>
              <w:t>URUGUAY</w:t>
            </w:r>
          </w:p>
        </w:tc>
        <w:tc>
          <w:tcPr>
            <w:tcW w:w="140" w:type="dxa"/>
            <w:vAlign w:val="bottom"/>
          </w:tcPr>
          <w:p>
            <w:pPr>
              <w:spacing w:after="0"/>
              <w:rPr>
                <w:sz w:val="16"/>
                <w:szCs w:val="16"/>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6"/>
                <w:szCs w:val="16"/>
                <w:color w:val="auto"/>
              </w:rPr>
              <w:t>148</w:t>
            </w:r>
          </w:p>
        </w:tc>
        <w:tc>
          <w:tcPr>
            <w:tcW w:w="10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58</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6"/>
                <w:szCs w:val="16"/>
                <w:color w:val="auto"/>
              </w:rPr>
              <w:t>62</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6"/>
                <w:szCs w:val="16"/>
                <w:color w:val="auto"/>
              </w:rPr>
              <w:t>86</w:t>
            </w: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90</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spacing w:after="0"/>
              <w:rPr>
                <w:sz w:val="20"/>
                <w:szCs w:val="20"/>
                <w:color w:val="auto"/>
              </w:rPr>
            </w:pPr>
            <w:r>
              <w:rPr>
                <w:rFonts w:ascii="Arial" w:cs="Arial" w:eastAsia="Arial" w:hAnsi="Arial"/>
                <w:sz w:val="16"/>
                <w:szCs w:val="16"/>
                <w:color w:val="auto"/>
              </w:rPr>
              <w:t>(24)</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6"/>
                <w:szCs w:val="16"/>
                <w:color w:val="auto"/>
              </w:rPr>
              <w:t>62</w:t>
            </w: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4040" w:type="dxa"/>
            <w:vAlign w:val="bottom"/>
            <w:shd w:val="clear" w:color="auto" w:fill="CCEEFF"/>
          </w:tcPr>
          <w:p>
            <w:pPr>
              <w:spacing w:after="0" w:line="244" w:lineRule="exact"/>
              <w:rPr>
                <w:sz w:val="20"/>
                <w:szCs w:val="20"/>
                <w:color w:val="auto"/>
              </w:rPr>
            </w:pPr>
            <w:r>
              <w:rPr>
                <w:rFonts w:ascii="Arial" w:cs="Arial" w:eastAsia="Arial" w:hAnsi="Arial"/>
                <w:sz w:val="16"/>
                <w:szCs w:val="16"/>
                <w:color w:val="auto"/>
              </w:rPr>
              <w:t xml:space="preserve">OTHER NON-LATAM </w:t>
            </w:r>
            <w:r>
              <w:rPr>
                <w:rFonts w:ascii="Arial" w:cs="Arial" w:eastAsia="Arial" w:hAnsi="Arial"/>
                <w:sz w:val="27"/>
                <w:szCs w:val="27"/>
                <w:color w:val="auto"/>
                <w:vertAlign w:val="superscript"/>
              </w:rPr>
              <w:t>(1)</w:t>
            </w:r>
          </w:p>
        </w:tc>
        <w:tc>
          <w:tcPr>
            <w:tcW w:w="140" w:type="dxa"/>
            <w:vAlign w:val="bottom"/>
            <w:shd w:val="clear" w:color="auto" w:fill="CCEEFF"/>
          </w:tcPr>
          <w:p>
            <w:pPr>
              <w:spacing w:after="0"/>
              <w:rPr>
                <w:sz w:val="21"/>
                <w:szCs w:val="21"/>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465</w:t>
            </w:r>
          </w:p>
        </w:tc>
        <w:tc>
          <w:tcPr>
            <w:tcW w:w="100" w:type="dxa"/>
            <w:vAlign w:val="bottom"/>
            <w:shd w:val="clear" w:color="auto" w:fill="CCEEFF"/>
          </w:tcPr>
          <w:p>
            <w:pPr>
              <w:spacing w:after="0"/>
              <w:rPr>
                <w:sz w:val="21"/>
                <w:szCs w:val="21"/>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458</w:t>
            </w:r>
          </w:p>
        </w:tc>
        <w:tc>
          <w:tcPr>
            <w:tcW w:w="160" w:type="dxa"/>
            <w:vAlign w:val="bottom"/>
            <w:shd w:val="clear" w:color="auto" w:fill="CCEEFF"/>
          </w:tcPr>
          <w:p>
            <w:pPr>
              <w:spacing w:after="0"/>
              <w:rPr>
                <w:sz w:val="21"/>
                <w:szCs w:val="21"/>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334</w:t>
            </w: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131</w:t>
            </w:r>
          </w:p>
        </w:tc>
        <w:tc>
          <w:tcPr>
            <w:tcW w:w="160" w:type="dxa"/>
            <w:vAlign w:val="bottom"/>
            <w:shd w:val="clear" w:color="auto" w:fill="CCEEFF"/>
          </w:tcPr>
          <w:p>
            <w:pPr>
              <w:spacing w:after="0"/>
              <w:rPr>
                <w:sz w:val="21"/>
                <w:szCs w:val="2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88</w:t>
            </w:r>
          </w:p>
        </w:tc>
        <w:tc>
          <w:tcPr>
            <w:tcW w:w="80" w:type="dxa"/>
            <w:vAlign w:val="bottom"/>
            <w:shd w:val="clear" w:color="auto" w:fill="CCEEFF"/>
          </w:tcPr>
          <w:p>
            <w:pPr>
              <w:spacing w:after="0"/>
              <w:rPr>
                <w:sz w:val="21"/>
                <w:szCs w:val="21"/>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w:t>
            </w: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203</w:t>
            </w:r>
          </w:p>
        </w:tc>
        <w:tc>
          <w:tcPr>
            <w:tcW w:w="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246</w:t>
            </w:r>
          </w:p>
        </w:tc>
        <w:tc>
          <w:tcPr>
            <w:tcW w:w="0" w:type="dxa"/>
            <w:vAlign w:val="bottom"/>
          </w:tcPr>
          <w:p>
            <w:pPr>
              <w:spacing w:after="0"/>
              <w:rPr>
                <w:sz w:val="1"/>
                <w:szCs w:val="1"/>
                <w:color w:val="auto"/>
              </w:rPr>
            </w:pPr>
          </w:p>
        </w:tc>
      </w:tr>
      <w:tr>
        <w:trPr>
          <w:trHeight w:val="187"/>
        </w:trPr>
        <w:tc>
          <w:tcPr>
            <w:tcW w:w="20" w:type="dxa"/>
            <w:vAlign w:val="bottom"/>
            <w:vMerge w:val="restart"/>
          </w:tcPr>
          <w:p>
            <w:pPr>
              <w:spacing w:after="0"/>
              <w:rPr>
                <w:sz w:val="16"/>
                <w:szCs w:val="16"/>
                <w:color w:val="auto"/>
              </w:rPr>
            </w:pPr>
          </w:p>
        </w:tc>
        <w:tc>
          <w:tcPr>
            <w:tcW w:w="404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2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2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700" w:type="dxa"/>
            <w:vAlign w:val="bottom"/>
            <w:tcBorders>
              <w:top w:val="single" w:sz="8" w:color="auto"/>
            </w:tcBorders>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20" w:type="dxa"/>
            <w:vAlign w:val="bottom"/>
            <w:vMerge w:val="continue"/>
          </w:tcPr>
          <w:p>
            <w:pPr>
              <w:spacing w:after="0"/>
              <w:rPr>
                <w:sz w:val="20"/>
                <w:szCs w:val="20"/>
                <w:color w:val="auto"/>
              </w:rPr>
            </w:pPr>
          </w:p>
        </w:tc>
        <w:tc>
          <w:tcPr>
            <w:tcW w:w="4040" w:type="dxa"/>
            <w:vAlign w:val="bottom"/>
            <w:shd w:val="clear" w:color="auto" w:fill="CCEEFF"/>
          </w:tcPr>
          <w:p>
            <w:pPr>
              <w:spacing w:after="0" w:line="232" w:lineRule="exact"/>
              <w:rPr>
                <w:sz w:val="20"/>
                <w:szCs w:val="20"/>
                <w:color w:val="auto"/>
              </w:rPr>
            </w:pPr>
            <w:r>
              <w:rPr>
                <w:rFonts w:ascii="Arial" w:cs="Arial" w:eastAsia="Arial" w:hAnsi="Arial"/>
                <w:sz w:val="16"/>
                <w:szCs w:val="16"/>
                <w:color w:val="auto"/>
              </w:rPr>
              <w:t xml:space="preserve">TOTAL LOAN DISBURSED </w:t>
            </w:r>
            <w:r>
              <w:rPr>
                <w:rFonts w:ascii="Arial" w:cs="Arial" w:eastAsia="Arial" w:hAnsi="Arial"/>
                <w:sz w:val="26"/>
                <w:szCs w:val="26"/>
                <w:color w:val="auto"/>
                <w:vertAlign w:val="superscript"/>
              </w:rPr>
              <w:t>(2)</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5,055</w:t>
            </w:r>
          </w:p>
        </w:tc>
        <w:tc>
          <w:tcPr>
            <w:tcW w:w="10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3,887</w:t>
            </w:r>
          </w:p>
        </w:tc>
        <w:tc>
          <w:tcPr>
            <w:tcW w:w="16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w w:val="71"/>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2,663</w:t>
            </w:r>
          </w:p>
        </w:tc>
        <w:tc>
          <w:tcPr>
            <w:tcW w:w="20" w:type="dxa"/>
            <w:vAlign w:val="bottom"/>
            <w:shd w:val="clear" w:color="auto" w:fill="CCEEFF"/>
          </w:tcPr>
          <w:p>
            <w:pPr>
              <w:spacing w:after="0"/>
              <w:rPr>
                <w:sz w:val="20"/>
                <w:szCs w:val="20"/>
                <w:color w:val="auto"/>
              </w:rPr>
            </w:pP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2,392</w:t>
            </w:r>
          </w:p>
        </w:tc>
        <w:tc>
          <w:tcPr>
            <w:tcW w:w="16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w w:val="71"/>
              </w:rPr>
              <w:t>$</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872</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1,168</w:t>
            </w:r>
          </w:p>
        </w:tc>
        <w:tc>
          <w:tcPr>
            <w:tcW w:w="80" w:type="dxa"/>
            <w:vAlign w:val="bottom"/>
            <w:shd w:val="clear" w:color="auto" w:fill="CCEEFF"/>
          </w:tcPr>
          <w:p>
            <w:pPr>
              <w:spacing w:after="0"/>
              <w:rPr>
                <w:sz w:val="20"/>
                <w:szCs w:val="20"/>
                <w:color w:val="auto"/>
              </w:rPr>
            </w:pP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271</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1,791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154940</wp:posOffset>
            </wp:positionV>
            <wp:extent cx="1790065" cy="76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1790065" cy="7620"/>
                    </a:xfrm>
                    <a:prstGeom prst="rect">
                      <a:avLst/>
                    </a:prstGeom>
                    <a:noFill/>
                  </pic:spPr>
                </pic:pic>
              </a:graphicData>
            </a:graphic>
          </wp:anchor>
        </w:drawing>
      </w:r>
    </w:p>
    <w:p>
      <w:pPr>
        <w:spacing w:after="0" w:line="252" w:lineRule="exact"/>
        <w:rPr>
          <w:sz w:val="20"/>
          <w:szCs w:val="20"/>
          <w:color w:val="auto"/>
        </w:rPr>
      </w:pPr>
    </w:p>
    <w:p>
      <w:pPr>
        <w:ind w:left="202" w:hanging="202"/>
        <w:spacing w:after="0"/>
        <w:tabs>
          <w:tab w:leader="none" w:pos="202" w:val="left"/>
        </w:tabs>
        <w:numPr>
          <w:ilvl w:val="0"/>
          <w:numId w:val="12"/>
        </w:numPr>
        <w:rPr>
          <w:rFonts w:ascii="Arial" w:cs="Arial" w:eastAsia="Arial" w:hAnsi="Arial"/>
          <w:sz w:val="24"/>
          <w:szCs w:val="24"/>
          <w:color w:val="auto"/>
          <w:vertAlign w:val="superscript"/>
        </w:rPr>
      </w:pPr>
      <w:r>
        <w:rPr>
          <w:rFonts w:ascii="Arial" w:cs="Arial" w:eastAsia="Arial" w:hAnsi="Arial"/>
          <w:sz w:val="15"/>
          <w:szCs w:val="15"/>
          <w:color w:val="auto"/>
        </w:rPr>
        <w:t>Origination in highly rated countries outside the Region, mostly in Europe and North America, related to transactions carried out in the Region.</w:t>
      </w:r>
    </w:p>
    <w:p>
      <w:pPr>
        <w:spacing w:after="0" w:line="38" w:lineRule="exact"/>
        <w:rPr>
          <w:rFonts w:ascii="Arial" w:cs="Arial" w:eastAsia="Arial" w:hAnsi="Arial"/>
          <w:sz w:val="24"/>
          <w:szCs w:val="24"/>
          <w:color w:val="auto"/>
          <w:vertAlign w:val="superscript"/>
        </w:rPr>
      </w:pPr>
    </w:p>
    <w:p>
      <w:pPr>
        <w:ind w:left="202" w:hanging="202"/>
        <w:spacing w:after="0" w:line="183" w:lineRule="auto"/>
        <w:tabs>
          <w:tab w:leader="none" w:pos="202" w:val="left"/>
        </w:tabs>
        <w:numPr>
          <w:ilvl w:val="0"/>
          <w:numId w:val="12"/>
        </w:numPr>
        <w:rPr>
          <w:rFonts w:ascii="Arial" w:cs="Arial" w:eastAsia="Arial" w:hAnsi="Arial"/>
          <w:sz w:val="22"/>
          <w:szCs w:val="22"/>
          <w:color w:val="auto"/>
          <w:vertAlign w:val="superscript"/>
        </w:rPr>
      </w:pPr>
      <w:r>
        <w:rPr>
          <w:rFonts w:ascii="Arial" w:cs="Arial" w:eastAsia="Arial" w:hAnsi="Arial"/>
          <w:sz w:val="14"/>
          <w:szCs w:val="14"/>
          <w:color w:val="auto"/>
        </w:rPr>
        <w:t>Total loan disbursed does not include loan commitments and financial guarantee contracts, nor other interest-earning assets such as investment securities.</w:t>
      </w:r>
    </w:p>
    <w:p>
      <w:pPr>
        <w:spacing w:after="0" w:line="379"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22860</wp:posOffset>
            </wp:positionV>
            <wp:extent cx="7145655" cy="762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p>
      <w:pPr>
        <w:sectPr>
          <w:pgSz w:w="11900" w:h="16838" w:orient="portrait"/>
          <w:cols w:equalWidth="0" w:num="1">
            <w:col w:w="11262"/>
          </w:cols>
          <w:pgMar w:left="318" w:top="1440" w:right="31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201930</wp:posOffset>
            </wp:positionH>
            <wp:positionV relativeFrom="page">
              <wp:posOffset>538480</wp:posOffset>
            </wp:positionV>
            <wp:extent cx="7202170" cy="274320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02170" cy="2743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9960"/>
        <w:spacing w:after="0"/>
        <w:rPr>
          <w:sz w:val="20"/>
          <w:szCs w:val="20"/>
          <w:color w:val="auto"/>
        </w:rPr>
      </w:pPr>
      <w:r>
        <w:rPr>
          <w:rFonts w:ascii="Arial" w:cs="Arial" w:eastAsia="Arial" w:hAnsi="Arial"/>
          <w:sz w:val="16"/>
          <w:szCs w:val="16"/>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wp:posOffset>
            </wp:positionH>
            <wp:positionV relativeFrom="paragraph">
              <wp:posOffset>15240</wp:posOffset>
            </wp:positionV>
            <wp:extent cx="7145655" cy="762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45655" cy="7620"/>
                    </a:xfrm>
                    <a:prstGeom prst="rect">
                      <a:avLst/>
                    </a:prstGeom>
                    <a:noFill/>
                  </pic:spPr>
                </pic:pic>
              </a:graphicData>
            </a:graphic>
          </wp:anchor>
        </w:drawing>
      </w:r>
    </w:p>
    <w:sectPr>
      <w:pgSz w:w="11900" w:h="16838" w:orient="portrait"/>
      <w:cols w:equalWidth="0" w:num="1">
        <w:col w:w="10140"/>
      </w:cols>
      <w:pgMar w:left="1440" w:top="1440" w:right="3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abstractNum>
  <w:abstractNum w:abstractNumId="2">
    <w:nsid w:val="79E2A9E3"/>
    <w:multiLevelType w:val="hybridMultilevel"/>
    <w:lvl w:ilvl="0">
      <w:lvlJc w:val="left"/>
      <w:lvlText w:val="§"/>
      <w:numFmt w:val="bullet"/>
      <w:start w:val="1"/>
    </w:lvl>
  </w:abstractNum>
  <w:abstractNum w:abstractNumId="3">
    <w:nsid w:val="7545E146"/>
    <w:multiLevelType w:val="hybridMultilevel"/>
    <w:lvl w:ilvl="0">
      <w:lvlJc w:val="left"/>
      <w:lvlText w:val="§"/>
      <w:numFmt w:val="bullet"/>
      <w:start w:val="1"/>
    </w:lvl>
  </w:abstractNum>
  <w:abstractNum w:abstractNumId="4">
    <w:nsid w:val="515F007C"/>
    <w:multiLevelType w:val="hybridMultilevel"/>
    <w:lvl w:ilvl="0">
      <w:lvlJc w:val="left"/>
      <w:lvlText w:val="-"/>
      <w:numFmt w:val="bullet"/>
      <w:start w:val="1"/>
    </w:lvl>
  </w:abstractNum>
  <w:abstractNum w:abstractNumId="5">
    <w:nsid w:val="5BD062C2"/>
    <w:multiLevelType w:val="hybridMultilevel"/>
    <w:lvl w:ilvl="0">
      <w:lvlJc w:val="left"/>
      <w:lvlText w:val="%1)"/>
      <w:numFmt w:val="decimal"/>
      <w:start w:val="1"/>
    </w:lvl>
  </w:abstractNum>
  <w:abstractNum w:abstractNumId="6">
    <w:nsid w:val="12200854"/>
    <w:multiLevelType w:val="hybridMultilevel"/>
    <w:lvl w:ilvl="0">
      <w:lvlJc w:val="left"/>
      <w:lvlText w:val="(%1)"/>
      <w:numFmt w:val="decimal"/>
      <w:start w:val="1"/>
    </w:lvl>
  </w:abstractNum>
  <w:abstractNum w:abstractNumId="7">
    <w:nsid w:val="4DB127F8"/>
    <w:multiLevelType w:val="hybridMultilevel"/>
    <w:lvl w:ilvl="0">
      <w:lvlJc w:val="left"/>
      <w:lvlText w:val="(%1)"/>
      <w:numFmt w:val="decimal"/>
      <w:start w:val="1"/>
    </w:lvl>
  </w:abstractNum>
  <w:abstractNum w:abstractNumId="8">
    <w:nsid w:val="216231B"/>
    <w:multiLevelType w:val="hybridMultilevel"/>
    <w:lvl w:ilvl="0">
      <w:lvlJc w:val="left"/>
      <w:lvlText w:val="(%1)"/>
      <w:numFmt w:val="decimal"/>
      <w:start w:val="1"/>
    </w:lvl>
  </w:abstractNum>
  <w:abstractNum w:abstractNumId="9">
    <w:nsid w:val="1F16E9E8"/>
    <w:multiLevelType w:val="hybridMultilevel"/>
    <w:lvl w:ilvl="0">
      <w:lvlJc w:val="left"/>
      <w:lvlText w:val="(%1)"/>
      <w:numFmt w:val="decimal"/>
      <w:start w:val="1"/>
    </w:lvl>
  </w:abstractNum>
  <w:abstractNum w:abstractNumId="10">
    <w:nsid w:val="1190CDE7"/>
    <w:multiLevelType w:val="hybridMultilevel"/>
    <w:lvl w:ilvl="0">
      <w:lvlJc w:val="left"/>
      <w:lvlText w:val="(%1)"/>
      <w:numFmt w:val="decimal"/>
      <w:start w:val="1"/>
    </w:lvl>
  </w:abstractNum>
  <w:abstractNum w:abstractNumId="11">
    <w:nsid w:val="66EF438D"/>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png"/><Relationship Id="rId35" Type="http://schemas.openxmlformats.org/officeDocument/2006/relationships/image" Target="media/image28.jpeg"/><Relationship Id="rId36" Type="http://schemas.openxmlformats.org/officeDocument/2006/relationships/image" Target="media/image29.png"/><Relationship Id="rId37" Type="http://schemas.openxmlformats.org/officeDocument/2006/relationships/image" Target="media/image30.jpe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 Id="rId41" Type="http://schemas.openxmlformats.org/officeDocument/2006/relationships/image" Target="media/image34.jpe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jpe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jpe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jpe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jpe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2021-07-30T05:43:58Z</dcterms:created>
  <dcterms:modified xsi:type="dcterms:W3CDTF">2021-07-30T05:43:58Z</dcterms:modified>
</cp:coreProperties>
</file>